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mf" ContentType="image/x-wmf"/>
  <Default Extension="png" ContentType="image/png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084"/>
        <w:pBdr/>
        <w:spacing w:line="276" w:lineRule="auto"/>
        <w:ind/>
        <w:rPr/>
      </w:pPr>
      <w:r>
        <w:t xml:space="preserve">OBSAH</w:t>
      </w:r>
      <w:r/>
    </w:p>
    <w:p>
      <w:pPr>
        <w:pStyle w:val="1053"/>
        <w:pBdr/>
        <w:tabs>
          <w:tab w:val="clear" w:leader="none" w:pos="567"/>
          <w:tab w:val="clear" w:leader="none" w:pos="567"/>
          <w:tab w:val="right" w:leader="dot" w:pos="9355"/>
        </w:tabs>
        <w:spacing w:line="276" w:lineRule="auto"/>
        <w:ind/>
        <w:rPr/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tooltip="#_Toc200920513" w:anchor="_Toc200920513" w:history="1">
        <w:r>
          <w:rPr>
            <w:rFonts w:ascii="Arial" w:hAnsi="Arial" w:eastAsia="Times New Roman" w:cs="Times New Roman"/>
          </w:rPr>
          <w:t xml:space="preserve">1.</w:t>
        </w:r>
        <w:r>
          <w:rPr>
            <w:rStyle w:val="1100"/>
          </w:rPr>
        </w:r>
        <w:r>
          <w:rPr>
            <w:rStyle w:val="1100"/>
          </w:rPr>
          <w:t xml:space="preserve">SO 01 – </w:t>
        </w:r>
        <w:r>
          <w:rPr>
            <w:rStyle w:val="1100"/>
          </w:rPr>
          <w:t xml:space="preserve">KALOLISOVNA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_Toc200920513 \h</w:instrText>
          <w:fldChar w:fldCharType="separate"/>
          <w:t xml:space="preserve">2</w:t>
          <w:fldChar w:fldCharType="end"/>
        </w:r>
      </w:hyperlink>
      <w:r/>
      <w:r/>
    </w:p>
    <w:p>
      <w:pPr>
        <w:pStyle w:val="1054"/>
        <w:pBdr/>
        <w:tabs>
          <w:tab w:val="clear" w:leader="none" w:pos="567"/>
          <w:tab w:val="left" w:leader="none" w:pos="1134"/>
          <w:tab w:val="right" w:leader="dot" w:pos="9355"/>
        </w:tabs>
        <w:spacing w:line="276" w:lineRule="auto"/>
        <w:ind/>
        <w:rPr/>
      </w:pPr>
      <w:r/>
      <w:hyperlink w:tooltip="#_Toc200920514" w:anchor="_Toc200920514" w:history="1">
        <w:r>
          <w:rPr>
            <w:rFonts w:ascii="Arial" w:hAnsi="Arial" w:eastAsia="Times New Roman" w:cs="Times New Roman"/>
          </w:rPr>
          <w:t xml:space="preserve">1.1.</w:t>
        </w:r>
        <w:r>
          <w:tab/>
        </w:r>
        <w:r>
          <w:rPr>
            <w:rStyle w:val="1100"/>
          </w:rPr>
        </w:r>
        <w:r>
          <w:rPr>
            <w:rStyle w:val="1100"/>
          </w:rPr>
          <w:t xml:space="preserve">STAVEBNÍ ČÁST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_Toc200920514 \h</w:instrText>
          <w:fldChar w:fldCharType="separate"/>
          <w:t xml:space="preserve">2</w:t>
          <w:fldChar w:fldCharType="end"/>
        </w:r>
      </w:hyperlink>
      <w:r/>
      <w:r/>
    </w:p>
    <w:p>
      <w:pPr>
        <w:pStyle w:val="1055"/>
        <w:pBdr/>
        <w:tabs>
          <w:tab w:val="clear" w:leader="none" w:pos="567"/>
          <w:tab w:val="left" w:leader="none" w:pos="1417"/>
          <w:tab w:val="right" w:leader="dot" w:pos="9355"/>
        </w:tabs>
        <w:spacing w:line="276" w:lineRule="auto"/>
        <w:ind/>
        <w:rPr/>
      </w:pPr>
      <w:r/>
      <w:hyperlink w:tooltip="#_Toc200920515" w:anchor="_Toc200920515" w:history="1">
        <w:r>
          <w:rPr>
            <w:rFonts w:ascii="Arial" w:hAnsi="Arial" w:eastAsia="Times New Roman" w:cs="Times New Roman"/>
          </w:rPr>
          <w:t xml:space="preserve">1.1.1.</w:t>
        </w:r>
        <w:r>
          <w:tab/>
        </w:r>
        <w:r>
          <w:rPr>
            <w:rStyle w:val="1100"/>
          </w:rPr>
        </w:r>
        <w:r>
          <w:rPr>
            <w:rStyle w:val="1100"/>
          </w:rPr>
          <w:t xml:space="preserve">ZALOŽENÍ OBJEKTU KALOLISOVNY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_Toc200920515 \h</w:instrText>
          <w:fldChar w:fldCharType="separate"/>
          <w:t xml:space="preserve">2</w:t>
          <w:fldChar w:fldCharType="end"/>
        </w:r>
      </w:hyperlink>
      <w:r/>
      <w:r/>
    </w:p>
    <w:p>
      <w:pPr>
        <w:pStyle w:val="1055"/>
        <w:pBdr/>
        <w:tabs>
          <w:tab w:val="clear" w:leader="none" w:pos="567"/>
          <w:tab w:val="left" w:leader="none" w:pos="1417"/>
          <w:tab w:val="right" w:leader="dot" w:pos="9355"/>
        </w:tabs>
        <w:spacing w:line="276" w:lineRule="auto"/>
        <w:ind/>
        <w:rPr/>
      </w:pPr>
      <w:r/>
      <w:hyperlink w:tooltip="#_Toc200920516" w:anchor="_Toc200920516" w:history="1">
        <w:r>
          <w:rPr>
            <w:rFonts w:ascii="Arial" w:hAnsi="Arial" w:eastAsia="Times New Roman" w:cs="Times New Roman"/>
          </w:rPr>
          <w:t xml:space="preserve">1.1.2.</w:t>
        </w:r>
        <w:r>
          <w:tab/>
        </w:r>
        <w:r>
          <w:rPr>
            <w:rStyle w:val="1100"/>
          </w:rPr>
        </w:r>
        <w:r>
          <w:rPr>
            <w:rStyle w:val="1100"/>
          </w:rPr>
          <w:t xml:space="preserve">SVISLÉ NOSNÉ KONSTRUKCE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_Toc200920516 \h</w:instrText>
          <w:fldChar w:fldCharType="separate"/>
          <w:t xml:space="preserve">2</w:t>
          <w:fldChar w:fldCharType="end"/>
        </w:r>
      </w:hyperlink>
      <w:r/>
      <w:r/>
    </w:p>
    <w:p>
      <w:pPr>
        <w:pStyle w:val="1055"/>
        <w:pBdr/>
        <w:tabs>
          <w:tab w:val="clear" w:leader="none" w:pos="567"/>
          <w:tab w:val="left" w:leader="none" w:pos="1417"/>
          <w:tab w:val="right" w:leader="dot" w:pos="9355"/>
        </w:tabs>
        <w:spacing w:line="276" w:lineRule="auto"/>
        <w:ind/>
        <w:rPr/>
      </w:pPr>
      <w:r/>
      <w:hyperlink w:tooltip="#_Toc200920517" w:anchor="_Toc200920517" w:history="1">
        <w:r>
          <w:rPr>
            <w:rFonts w:ascii="Arial" w:hAnsi="Arial" w:eastAsia="Times New Roman" w:cs="Times New Roman"/>
          </w:rPr>
          <w:t xml:space="preserve">1.1.3.</w:t>
        </w:r>
        <w:r>
          <w:tab/>
        </w:r>
        <w:r>
          <w:rPr>
            <w:rStyle w:val="1100"/>
          </w:rPr>
        </w:r>
        <w:r>
          <w:rPr>
            <w:rStyle w:val="1100"/>
          </w:rPr>
          <w:t xml:space="preserve">VODOROVNÉ</w:t>
        </w:r>
        <w:r>
          <w:rPr>
            <w:rStyle w:val="1100"/>
          </w:rPr>
          <w:t xml:space="preserve"> </w:t>
        </w:r>
        <w:r>
          <w:rPr>
            <w:rStyle w:val="1100"/>
          </w:rPr>
          <w:t xml:space="preserve">KONSTRUKCE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_Toc200920517 \h</w:instrText>
          <w:fldChar w:fldCharType="separate"/>
          <w:t xml:space="preserve">2</w:t>
          <w:fldChar w:fldCharType="end"/>
        </w:r>
      </w:hyperlink>
      <w:r/>
      <w:r/>
    </w:p>
    <w:p>
      <w:pPr>
        <w:pStyle w:val="1055"/>
        <w:pBdr/>
        <w:tabs>
          <w:tab w:val="clear" w:leader="none" w:pos="567"/>
          <w:tab w:val="left" w:leader="none" w:pos="1417"/>
          <w:tab w:val="right" w:leader="dot" w:pos="9355"/>
        </w:tabs>
        <w:spacing w:line="276" w:lineRule="auto"/>
        <w:ind/>
        <w:rPr/>
      </w:pPr>
      <w:r/>
      <w:hyperlink w:tooltip="#_Toc200920518" w:anchor="_Toc200920518" w:history="1">
        <w:r>
          <w:rPr>
            <w:rFonts w:ascii="Arial" w:hAnsi="Arial" w:eastAsia="Times New Roman" w:cs="Times New Roman"/>
          </w:rPr>
          <w:t xml:space="preserve">1.1.4.</w:t>
        </w:r>
        <w:r>
          <w:tab/>
        </w:r>
        <w:r>
          <w:rPr>
            <w:rStyle w:val="1100"/>
          </w:rPr>
        </w:r>
        <w:r>
          <w:rPr>
            <w:rStyle w:val="1100"/>
          </w:rPr>
          <w:t xml:space="preserve">ZASTŘEŠENÍ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_Toc200920518 \h</w:instrText>
          <w:fldChar w:fldCharType="separate"/>
          <w:t xml:space="preserve">3</w:t>
          <w:fldChar w:fldCharType="end"/>
        </w:r>
      </w:hyperlink>
      <w:r/>
      <w:r/>
    </w:p>
    <w:p>
      <w:pPr>
        <w:pStyle w:val="1055"/>
        <w:pBdr/>
        <w:tabs>
          <w:tab w:val="clear" w:leader="none" w:pos="567"/>
          <w:tab w:val="left" w:leader="none" w:pos="1417"/>
          <w:tab w:val="right" w:leader="dot" w:pos="9355"/>
        </w:tabs>
        <w:spacing w:line="276" w:lineRule="auto"/>
        <w:ind/>
        <w:rPr/>
      </w:pPr>
      <w:r/>
      <w:hyperlink w:tooltip="#_Toc200920519" w:anchor="_Toc200920519" w:history="1">
        <w:r>
          <w:rPr>
            <w:rFonts w:ascii="Arial" w:hAnsi="Arial" w:eastAsia="Times New Roman" w:cs="Times New Roman"/>
          </w:rPr>
          <w:t xml:space="preserve">1.1.5.</w:t>
        </w:r>
        <w:r>
          <w:tab/>
        </w:r>
        <w:r>
          <w:rPr>
            <w:rStyle w:val="1100"/>
          </w:rPr>
        </w:r>
        <w:r>
          <w:rPr>
            <w:rStyle w:val="1100"/>
          </w:rPr>
          <w:t xml:space="preserve">PŘÍSTŘEŠEK NA KONTEJNER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_Toc200920519 \h</w:instrText>
          <w:fldChar w:fldCharType="separate"/>
          <w:t xml:space="preserve">3</w:t>
          <w:fldChar w:fldCharType="end"/>
        </w:r>
      </w:hyperlink>
      <w:r/>
      <w:r/>
    </w:p>
    <w:p>
      <w:pPr>
        <w:pStyle w:val="1055"/>
        <w:pBdr/>
        <w:tabs>
          <w:tab w:val="clear" w:leader="none" w:pos="567"/>
          <w:tab w:val="left" w:leader="none" w:pos="1417"/>
          <w:tab w:val="right" w:leader="dot" w:pos="9355"/>
        </w:tabs>
        <w:spacing w:line="276" w:lineRule="auto"/>
        <w:ind/>
        <w:rPr>
          <w:highlight w:val="magenta"/>
        </w:rPr>
      </w:pPr>
      <w:r/>
      <w:hyperlink w:tooltip="#_Toc200920520" w:anchor="_Toc200920520" w:history="1">
        <w:r>
          <w:rPr>
            <w:rFonts w:ascii="Arial" w:hAnsi="Arial" w:eastAsia="Times New Roman" w:cs="Times New Roman"/>
          </w:rPr>
          <w:t xml:space="preserve">1.1.6.</w:t>
        </w:r>
        <w:r>
          <w:tab/>
        </w:r>
        <w:r>
          <w:rPr>
            <w:rStyle w:val="1100"/>
          </w:rPr>
        </w:r>
        <w:r>
          <w:rPr>
            <w:rStyle w:val="1100"/>
          </w:rPr>
          <w:t xml:space="preserve">TRUBNÍ PROSTUPY</w:t>
        </w:r>
        <w:r>
          <w:rPr>
            <w:rStyle w:val="1100"/>
            <w:highlight w:val="magenta"/>
          </w:rPr>
        </w:r>
        <w:r>
          <w:tab/>
        </w:r>
        <w:r>
          <w:fldChar w:fldCharType="begin"/>
          <w:instrText xml:space="preserve">PAGEREF _Toc200920520 \h</w:instrText>
          <w:fldChar w:fldCharType="separate"/>
          <w:t xml:space="preserve">4</w:t>
          <w:fldChar w:fldCharType="end"/>
        </w:r>
      </w:hyperlink>
      <w:r>
        <w:rPr>
          <w:highlight w:val="magenta"/>
        </w:rPr>
      </w:r>
      <w:r>
        <w:rPr>
          <w:highlight w:val="magenta"/>
        </w:rPr>
      </w:r>
    </w:p>
    <w:p>
      <w:pPr>
        <w:pStyle w:val="1054"/>
        <w:pBdr/>
        <w:tabs>
          <w:tab w:val="clear" w:leader="none" w:pos="567"/>
          <w:tab w:val="left" w:leader="none" w:pos="1134"/>
          <w:tab w:val="right" w:leader="dot" w:pos="9355"/>
        </w:tabs>
        <w:spacing w:line="276" w:lineRule="auto"/>
        <w:ind/>
        <w:rPr/>
      </w:pPr>
      <w:r/>
      <w:hyperlink w:tooltip="#_Toc200920521" w:anchor="_Toc200920521" w:history="1">
        <w:r>
          <w:rPr>
            <w:rFonts w:ascii="Arial" w:hAnsi="Arial" w:eastAsia="Times New Roman" w:cs="Times New Roman"/>
          </w:rPr>
          <w:t xml:space="preserve">1.2.</w:t>
        </w:r>
        <w:r>
          <w:tab/>
        </w:r>
        <w:r>
          <w:rPr>
            <w:rStyle w:val="1100"/>
          </w:rPr>
        </w:r>
        <w:r>
          <w:rPr>
            <w:rStyle w:val="1100"/>
          </w:rPr>
          <w:t xml:space="preserve"> </w:t>
        </w:r>
        <w:r>
          <w:rPr>
            <w:rStyle w:val="1100"/>
          </w:rPr>
          <w:t xml:space="preserve">POPIS KONSTRUKČNÍCH SKLADEB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_Toc200920521 \h</w:instrText>
          <w:fldChar w:fldCharType="separate"/>
          <w:t xml:space="preserve">6</w:t>
          <w:fldChar w:fldCharType="end"/>
        </w:r>
      </w:hyperlink>
      <w:r/>
      <w:r/>
    </w:p>
    <w:p>
      <w:pPr>
        <w:pStyle w:val="1055"/>
        <w:pBdr/>
        <w:tabs>
          <w:tab w:val="clear" w:leader="none" w:pos="567"/>
          <w:tab w:val="left" w:leader="none" w:pos="1417"/>
          <w:tab w:val="right" w:leader="dot" w:pos="9355"/>
        </w:tabs>
        <w:spacing w:line="276" w:lineRule="auto"/>
        <w:ind/>
        <w:rPr/>
      </w:pPr>
      <w:r/>
      <w:hyperlink w:tooltip="#_Toc200920522" w:anchor="_Toc200920522" w:history="1">
        <w:r>
          <w:rPr>
            <w:rFonts w:ascii="Arial" w:hAnsi="Arial" w:eastAsia="Times New Roman" w:cs="Times New Roman"/>
          </w:rPr>
          <w:t xml:space="preserve">1.2.2.</w:t>
        </w:r>
        <w:r>
          <w:tab/>
        </w:r>
        <w:r>
          <w:rPr>
            <w:rStyle w:val="1100"/>
          </w:rPr>
        </w:r>
        <w:r>
          <w:rPr>
            <w:rStyle w:val="1100"/>
          </w:rPr>
          <w:t xml:space="preserve">ZASTŘEŠENÍ KALOLISOVNY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_Toc200920522 \h</w:instrText>
          <w:fldChar w:fldCharType="separate"/>
          <w:t xml:space="preserve">9</w:t>
          <w:fldChar w:fldCharType="end"/>
        </w:r>
      </w:hyperlink>
      <w:r/>
      <w:r/>
    </w:p>
    <w:p>
      <w:pPr>
        <w:pStyle w:val="1055"/>
        <w:pBdr/>
        <w:tabs>
          <w:tab w:val="clear" w:leader="none" w:pos="567"/>
          <w:tab w:val="left" w:leader="none" w:pos="1417"/>
          <w:tab w:val="right" w:leader="dot" w:pos="9355"/>
        </w:tabs>
        <w:spacing w:line="276" w:lineRule="auto"/>
        <w:ind/>
        <w:rPr/>
      </w:pPr>
      <w:r/>
      <w:hyperlink w:tooltip="#_Toc200920523" w:anchor="_Toc200920523" w:history="1">
        <w:r>
          <w:rPr>
            <w:rFonts w:ascii="Arial" w:hAnsi="Arial" w:eastAsia="Times New Roman" w:cs="Times New Roman"/>
          </w:rPr>
          <w:t xml:space="preserve">1.2.3.</w:t>
        </w:r>
        <w:r>
          <w:tab/>
        </w:r>
        <w:r>
          <w:rPr>
            <w:rStyle w:val="1100"/>
          </w:rPr>
        </w:r>
        <w:r>
          <w:rPr>
            <w:rStyle w:val="1100"/>
          </w:rPr>
          <w:t xml:space="preserve">VÝPLNĚ OTVORŮ</w:t>
        </w:r>
        <w:r>
          <w:rPr>
            <w:rStyle w:val="1100"/>
          </w:rPr>
          <w:t xml:space="preserve"> 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_Toc200920523 \h</w:instrText>
          <w:fldChar w:fldCharType="separate"/>
          <w:t xml:space="preserve">9</w:t>
          <w:fldChar w:fldCharType="end"/>
        </w:r>
      </w:hyperlink>
      <w:r/>
      <w:r/>
    </w:p>
    <w:p>
      <w:pPr>
        <w:pStyle w:val="1055"/>
        <w:pBdr/>
        <w:tabs>
          <w:tab w:val="clear" w:leader="none" w:pos="567"/>
          <w:tab w:val="left" w:leader="none" w:pos="1417"/>
          <w:tab w:val="right" w:leader="dot" w:pos="9355"/>
        </w:tabs>
        <w:spacing w:line="276" w:lineRule="auto"/>
        <w:ind/>
        <w:rPr/>
      </w:pPr>
      <w:r/>
      <w:hyperlink w:tooltip="#_Toc200920524" w:anchor="_Toc200920524" w:history="1">
        <w:r>
          <w:rPr>
            <w:rFonts w:ascii="Arial" w:hAnsi="Arial" w:eastAsia="Times New Roman" w:cs="Times New Roman"/>
          </w:rPr>
          <w:t xml:space="preserve">1.2.4.</w:t>
        </w:r>
        <w:r>
          <w:tab/>
        </w:r>
        <w:r>
          <w:rPr>
            <w:rStyle w:val="1100"/>
          </w:rPr>
        </w:r>
        <w:r>
          <w:rPr>
            <w:rStyle w:val="1100"/>
          </w:rPr>
          <w:t xml:space="preserve">ODVĚTRÁNÍ</w:t>
        </w:r>
        <w:r>
          <w:rPr>
            <w:rStyle w:val="1100"/>
          </w:rPr>
          <w:t xml:space="preserve"> KALOLISOVNY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_Toc200920524 \h</w:instrText>
          <w:fldChar w:fldCharType="separate"/>
          <w:t xml:space="preserve">10</w:t>
          <w:fldChar w:fldCharType="end"/>
        </w:r>
      </w:hyperlink>
      <w:r/>
      <w:r/>
    </w:p>
    <w:p>
      <w:pPr>
        <w:pStyle w:val="1054"/>
        <w:pBdr/>
        <w:tabs>
          <w:tab w:val="clear" w:leader="none" w:pos="567"/>
          <w:tab w:val="left" w:leader="none" w:pos="1134"/>
          <w:tab w:val="right" w:leader="dot" w:pos="9355"/>
        </w:tabs>
        <w:spacing w:line="276" w:lineRule="auto"/>
        <w:ind/>
        <w:rPr/>
      </w:pPr>
      <w:r/>
      <w:hyperlink w:tooltip="#_Toc200920525" w:anchor="_Toc200920525" w:history="1">
        <w:r>
          <w:rPr>
            <w:rFonts w:ascii="Arial" w:hAnsi="Arial" w:eastAsia="Times New Roman" w:cs="Times New Roman"/>
          </w:rPr>
          <w:t xml:space="preserve">1.3.</w:t>
        </w:r>
        <w:r>
          <w:tab/>
        </w:r>
        <w:r>
          <w:rPr>
            <w:rStyle w:val="1100"/>
          </w:rPr>
        </w:r>
        <w:r>
          <w:rPr>
            <w:rStyle w:val="1100"/>
          </w:rPr>
          <w:t xml:space="preserve">SO 01.3 STAVEBNĚ – KONSTRUKČNÍ ŘEŠENÍ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_Toc200920525 \h</w:instrText>
          <w:fldChar w:fldCharType="separate"/>
          <w:t xml:space="preserve">11</w:t>
          <w:fldChar w:fldCharType="end"/>
        </w:r>
      </w:hyperlink>
      <w:r/>
      <w:r/>
    </w:p>
    <w:p>
      <w:pPr>
        <w:pStyle w:val="1054"/>
        <w:pBdr/>
        <w:tabs>
          <w:tab w:val="clear" w:leader="none" w:pos="567"/>
          <w:tab w:val="left" w:leader="none" w:pos="1134"/>
          <w:tab w:val="right" w:leader="dot" w:pos="9355"/>
        </w:tabs>
        <w:spacing w:line="276" w:lineRule="auto"/>
        <w:ind/>
        <w:rPr/>
      </w:pPr>
      <w:r/>
      <w:hyperlink w:tooltip="#_Toc200920526" w:anchor="_Toc200920526" w:history="1">
        <w:r>
          <w:rPr>
            <w:rFonts w:ascii="Arial" w:hAnsi="Arial" w:eastAsia="Times New Roman" w:cs="Times New Roman"/>
          </w:rPr>
          <w:t xml:space="preserve">1.4.</w:t>
        </w:r>
        <w:r>
          <w:tab/>
        </w:r>
        <w:r>
          <w:rPr>
            <w:rStyle w:val="1100"/>
          </w:rPr>
        </w:r>
        <w:r>
          <w:rPr>
            <w:rStyle w:val="1100"/>
          </w:rPr>
          <w:t xml:space="preserve">SO 01.5 – ELEKTRO-STAVEBNÍ ČÁST</w:t>
        </w:r>
        <w:r>
          <w:rPr>
            <w:rStyle w:val="1100"/>
          </w:rPr>
          <w:t xml:space="preserve"> 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_Toc200920526 \h</w:instrText>
          <w:fldChar w:fldCharType="separate"/>
          <w:t xml:space="preserve">11</w:t>
          <w:fldChar w:fldCharType="end"/>
        </w:r>
      </w:hyperlink>
      <w:r/>
      <w:r/>
    </w:p>
    <w:p>
      <w:pPr>
        <w:pStyle w:val="1054"/>
        <w:pBdr/>
        <w:tabs>
          <w:tab w:val="clear" w:leader="none" w:pos="567"/>
          <w:tab w:val="left" w:leader="none" w:pos="1134"/>
          <w:tab w:val="right" w:leader="dot" w:pos="9355"/>
        </w:tabs>
        <w:spacing w:line="276" w:lineRule="auto"/>
        <w:ind/>
        <w:rPr/>
      </w:pPr>
      <w:r/>
      <w:hyperlink w:tooltip="#_Toc200920527" w:anchor="_Toc200920527" w:history="1">
        <w:r>
          <w:rPr>
            <w:rFonts w:ascii="Arial" w:hAnsi="Arial" w:eastAsia="Times New Roman" w:cs="Times New Roman"/>
          </w:rPr>
          <w:t xml:space="preserve">1.5.</w:t>
        </w:r>
        <w:r>
          <w:tab/>
        </w:r>
        <w:r>
          <w:rPr>
            <w:rStyle w:val="1100"/>
          </w:rPr>
        </w:r>
        <w:r>
          <w:rPr>
            <w:rStyle w:val="1100"/>
          </w:rPr>
          <w:t xml:space="preserve">PS 01 – STROJNĚ – TECHNOLOGICKÁ ČÁST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_Toc200920527 \h</w:instrText>
          <w:fldChar w:fldCharType="separate"/>
          <w:t xml:space="preserve">11</w:t>
          <w:fldChar w:fldCharType="end"/>
        </w:r>
      </w:hyperlink>
      <w:r/>
      <w:r/>
    </w:p>
    <w:p>
      <w:pPr>
        <w:pStyle w:val="1054"/>
        <w:pBdr/>
        <w:tabs>
          <w:tab w:val="clear" w:leader="none" w:pos="567"/>
          <w:tab w:val="left" w:leader="none" w:pos="1134"/>
          <w:tab w:val="right" w:leader="dot" w:pos="9355"/>
        </w:tabs>
        <w:spacing w:line="276" w:lineRule="auto"/>
        <w:ind/>
        <w:rPr/>
      </w:pPr>
      <w:r/>
      <w:hyperlink w:tooltip="#_Toc200920528" w:anchor="_Toc200920528" w:history="1">
        <w:r>
          <w:rPr>
            <w:rFonts w:ascii="Arial" w:hAnsi="Arial" w:eastAsia="Times New Roman" w:cs="Times New Roman"/>
          </w:rPr>
          <w:t xml:space="preserve">1.6.</w:t>
        </w:r>
        <w:r>
          <w:tab/>
        </w:r>
        <w:r>
          <w:rPr>
            <w:rStyle w:val="1100"/>
          </w:rPr>
        </w:r>
        <w:r>
          <w:rPr>
            <w:rStyle w:val="1100"/>
          </w:rPr>
          <w:t xml:space="preserve">PS 02 – ELEKTRO – TECHNOLOGICKÁ ČÁST</w:t>
        </w:r>
        <w:r>
          <w:rPr>
            <w:rStyle w:val="1100"/>
          </w:rPr>
          <w:t xml:space="preserve"> 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_Toc200920528 \h</w:instrText>
          <w:fldChar w:fldCharType="separate"/>
          <w:t xml:space="preserve">11</w:t>
          <w:fldChar w:fldCharType="end"/>
        </w:r>
      </w:hyperlink>
      <w:r/>
      <w:r/>
    </w:p>
    <w:p>
      <w:pPr>
        <w:pStyle w:val="1053"/>
        <w:pBdr/>
        <w:tabs>
          <w:tab w:val="clear" w:leader="none" w:pos="567"/>
          <w:tab w:val="clear" w:leader="none" w:pos="567"/>
          <w:tab w:val="right" w:leader="dot" w:pos="9355"/>
        </w:tabs>
        <w:spacing w:line="276" w:lineRule="auto"/>
        <w:ind/>
        <w:rPr/>
      </w:pPr>
      <w:r/>
      <w:hyperlink w:tooltip="#_Toc200920529" w:anchor="_Toc200920529" w:history="1">
        <w:r>
          <w:rPr>
            <w:rFonts w:ascii="Arial" w:hAnsi="Arial" w:eastAsia="Times New Roman" w:cs="Times New Roman"/>
          </w:rPr>
          <w:t xml:space="preserve">2.</w:t>
        </w:r>
        <w:r>
          <w:rPr>
            <w:rStyle w:val="1100"/>
          </w:rPr>
        </w:r>
        <w:r>
          <w:rPr>
            <w:rStyle w:val="1100"/>
          </w:rPr>
          <w:t xml:space="preserve">POŽADAVKY NA POSTUP STAVEBNÍCH A MONTÁŽNÍCH PRACÍ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_Toc200920529 \h</w:instrText>
          <w:fldChar w:fldCharType="separate"/>
          <w:t xml:space="preserve">11</w:t>
          <w:fldChar w:fldCharType="end"/>
        </w:r>
      </w:hyperlink>
      <w:r/>
      <w:r/>
    </w:p>
    <w:p>
      <w:pPr>
        <w:pStyle w:val="1054"/>
        <w:pBdr/>
        <w:tabs>
          <w:tab w:val="clear" w:leader="none" w:pos="567"/>
          <w:tab w:val="left" w:leader="none" w:pos="1134"/>
          <w:tab w:val="right" w:leader="dot" w:pos="9355"/>
        </w:tabs>
        <w:spacing w:line="276" w:lineRule="auto"/>
        <w:ind/>
        <w:rPr/>
      </w:pPr>
      <w:r/>
      <w:hyperlink w:tooltip="#_Toc200920530" w:anchor="_Toc200920530" w:history="1">
        <w:r>
          <w:rPr>
            <w:rFonts w:ascii="Arial" w:hAnsi="Arial" w:eastAsia="Times New Roman" w:cs="Times New Roman"/>
          </w:rPr>
          <w:t xml:space="preserve">2.1.</w:t>
        </w:r>
        <w:r>
          <w:tab/>
        </w:r>
        <w:r>
          <w:rPr>
            <w:rStyle w:val="1100"/>
          </w:rPr>
        </w:r>
        <w:r>
          <w:rPr>
            <w:rStyle w:val="1100"/>
          </w:rPr>
          <w:t xml:space="preserve">POPIS PŘÍPRAVNÝCH, SOUVISEJÍCÍCH A DOKONČUJÍCÍCH PRACÍ</w:t>
        </w:r>
        <w:r>
          <w:rPr>
            <w:rStyle w:val="1100"/>
          </w:rPr>
          <w:t xml:space="preserve"> </w:t>
        </w:r>
        <w:r>
          <w:rPr>
            <w:rStyle w:val="1100"/>
          </w:rPr>
        </w:r>
        <w:r>
          <w:tab/>
        </w:r>
        <w:r>
          <w:fldChar w:fldCharType="begin"/>
          <w:instrText xml:space="preserve">PAGEREF _Toc200920530 \h</w:instrText>
          <w:fldChar w:fldCharType="separate"/>
          <w:t xml:space="preserve">12</w:t>
          <w:fldChar w:fldCharType="end"/>
        </w:r>
      </w:hyperlink>
      <w:r/>
      <w:r/>
    </w:p>
    <w:p>
      <w:pPr>
        <w:pStyle w:val="1065"/>
        <w:pBdr/>
        <w:spacing w:line="276" w:lineRule="auto"/>
        <w:ind/>
        <w:rPr/>
      </w:pPr>
      <w:r>
        <w:rPr>
          <w:b/>
          <w:bCs/>
        </w:rPr>
        <w:fldChar w:fldCharType="end"/>
      </w:r>
      <w:r/>
    </w:p>
    <w:p>
      <w:pPr>
        <w:pStyle w:val="1065"/>
        <w:pBdr/>
        <w:spacing w:line="276" w:lineRule="auto"/>
        <w:ind/>
        <w:rPr/>
      </w:pPr>
      <w:r/>
      <w:r/>
    </w:p>
    <w:p>
      <w:pPr>
        <w:pStyle w:val="1065"/>
        <w:pBdr/>
        <w:spacing w:line="276" w:lineRule="auto"/>
        <w:ind/>
        <w:rPr/>
      </w:pPr>
      <w:r/>
      <w:r/>
    </w:p>
    <w:p>
      <w:pPr>
        <w:pStyle w:val="1065"/>
        <w:pBdr/>
        <w:spacing w:line="276" w:lineRule="auto"/>
        <w:ind/>
        <w:jc w:val="left"/>
        <w:rPr/>
      </w:pPr>
      <w:r/>
      <w:r/>
    </w:p>
    <w:p>
      <w:pPr>
        <w:pStyle w:val="1065"/>
        <w:pBdr/>
        <w:spacing w:line="276" w:lineRule="auto"/>
        <w:ind/>
        <w:jc w:val="left"/>
        <w:rPr/>
      </w:pPr>
      <w:r/>
      <w:r/>
    </w:p>
    <w:p>
      <w:pPr>
        <w:pStyle w:val="1065"/>
        <w:pBdr/>
        <w:spacing w:line="276" w:lineRule="auto"/>
        <w:ind/>
        <w:jc w:val="left"/>
        <w:rPr/>
      </w:pPr>
      <w:r/>
      <w:r/>
    </w:p>
    <w:p>
      <w:pPr>
        <w:pStyle w:val="1065"/>
        <w:pBdr/>
        <w:spacing w:line="276" w:lineRule="auto"/>
        <w:ind/>
        <w:jc w:val="left"/>
        <w:rPr/>
      </w:pPr>
      <w:r/>
      <w:r/>
    </w:p>
    <w:p>
      <w:pPr>
        <w:pStyle w:val="1065"/>
        <w:pBdr/>
        <w:spacing w:line="276" w:lineRule="auto"/>
        <w:ind/>
        <w:jc w:val="left"/>
        <w:rPr/>
      </w:pPr>
      <w:r/>
      <w:r/>
    </w:p>
    <w:p>
      <w:pPr>
        <w:pStyle w:val="1065"/>
        <w:pBdr/>
        <w:spacing w:line="276" w:lineRule="auto"/>
        <w:ind/>
        <w:jc w:val="left"/>
        <w:rPr/>
      </w:pPr>
      <w:r/>
      <w:r/>
    </w:p>
    <w:p>
      <w:pPr>
        <w:pStyle w:val="1065"/>
        <w:pBdr/>
        <w:spacing w:line="276" w:lineRule="auto"/>
        <w:ind/>
        <w:jc w:val="left"/>
        <w:rPr/>
      </w:pPr>
      <w:r/>
      <w:r/>
    </w:p>
    <w:p>
      <w:pPr>
        <w:pStyle w:val="1065"/>
        <w:pBdr/>
        <w:spacing w:line="276" w:lineRule="auto"/>
        <w:ind/>
        <w:jc w:val="left"/>
        <w:rPr/>
      </w:pPr>
      <w:r/>
      <w:r/>
    </w:p>
    <w:p>
      <w:pPr>
        <w:pStyle w:val="1065"/>
        <w:pBdr/>
        <w:spacing w:line="276" w:lineRule="auto"/>
        <w:ind/>
        <w:jc w:val="left"/>
        <w:rPr/>
      </w:pPr>
      <w:r/>
      <w:r/>
    </w:p>
    <w:p>
      <w:pPr>
        <w:pStyle w:val="1065"/>
        <w:pBdr/>
        <w:spacing w:line="276" w:lineRule="auto"/>
        <w:ind/>
        <w:jc w:val="left"/>
        <w:rPr/>
      </w:pPr>
      <w:r/>
      <w:r/>
    </w:p>
    <w:p>
      <w:pPr>
        <w:pStyle w:val="1065"/>
        <w:pBdr/>
        <w:spacing w:line="276" w:lineRule="auto"/>
        <w:ind/>
        <w:jc w:val="left"/>
        <w:rPr/>
      </w:pPr>
      <w:r/>
      <w:r/>
    </w:p>
    <w:p>
      <w:pPr>
        <w:pStyle w:val="1066"/>
        <w:pBdr/>
        <w:spacing w:after="0" w:line="276" w:lineRule="auto"/>
        <w:ind/>
        <w:rPr/>
      </w:pPr>
      <w:r/>
      <w:bookmarkStart w:id="14" w:name="_Toc200920513"/>
      <w:r>
        <w:t xml:space="preserve">SO 01 – </w:t>
      </w:r>
      <w:r>
        <w:t xml:space="preserve">kalolisovna</w:t>
      </w:r>
      <w:bookmarkEnd w:id="14"/>
      <w:r/>
      <w:r/>
    </w:p>
    <w:p>
      <w:pPr>
        <w:pStyle w:val="1067"/>
        <w:pBdr/>
        <w:spacing w:after="0" w:before="0" w:line="276" w:lineRule="auto"/>
        <w:ind/>
        <w:rPr/>
      </w:pPr>
      <w:r/>
      <w:bookmarkStart w:id="15" w:name="_Toc200920514"/>
      <w:r>
        <w:t xml:space="preserve">stavební část</w:t>
      </w:r>
      <w:bookmarkEnd w:id="15"/>
      <w:r/>
      <w:r/>
    </w:p>
    <w:p>
      <w:pPr>
        <w:pStyle w:val="1065"/>
        <w:pBdr/>
        <w:spacing w:line="276" w:lineRule="auto"/>
        <w:ind w:firstLine="708"/>
        <w:rPr/>
      </w:pPr>
      <w:r>
        <w:t xml:space="preserve">Návrh řešení vychází </w:t>
      </w:r>
      <w:r>
        <w:t xml:space="preserve">z předchozího stupně projektové dokumentace (DUSP) a z vydaného stavebního povolení. Budova kalolisovny bude umístěna vedle stávajícího objektu ČOV. </w:t>
      </w:r>
      <w:r/>
    </w:p>
    <w:p>
      <w:pPr>
        <w:pStyle w:val="1065"/>
        <w:pBdr/>
        <w:spacing w:line="276" w:lineRule="auto"/>
        <w:ind w:firstLine="708"/>
        <w:rPr/>
      </w:pPr>
      <w:r>
        <w:t xml:space="preserve">Kalolisovna je navržena jako přízemní zděný objekt a sestává z provozní části objektu a z dřevěného přístřešku na kontejner. Obě části kalolisovny jsou zastřešeny sedlovou střechou o sklonu 40°. Jednotlivé části objektu jsou samostatně založené. </w:t>
      </w:r>
      <w:r/>
    </w:p>
    <w:p>
      <w:pPr>
        <w:pStyle w:val="1065"/>
        <w:pBdr/>
        <w:spacing w:line="276" w:lineRule="auto"/>
        <w:ind w:firstLine="708"/>
        <w:rPr/>
      </w:pPr>
      <w:r/>
      <w:r/>
    </w:p>
    <w:p>
      <w:pPr>
        <w:pStyle w:val="1068"/>
        <w:pBdr/>
        <w:spacing w:before="0" w:line="276" w:lineRule="auto"/>
        <w:ind/>
        <w:rPr/>
      </w:pPr>
      <w:r/>
      <w:bookmarkStart w:id="16" w:name="_Toc200920515"/>
      <w:r>
        <w:t xml:space="preserve">ZALOŽENÍ OBJEKTU KALOLISOVNY</w:t>
      </w:r>
      <w:bookmarkEnd w:id="16"/>
      <w:r/>
      <w:r/>
    </w:p>
    <w:p>
      <w:pPr>
        <w:pStyle w:val="1065"/>
        <w:pBdr/>
        <w:spacing w:line="276" w:lineRule="auto"/>
        <w:ind w:firstLine="708"/>
        <w:rPr/>
      </w:pPr>
      <w:r>
        <w:t xml:space="preserve">Provozní část objektu kalolisovny je navržena o pů</w:t>
      </w:r>
      <w:r>
        <w:t xml:space="preserve">dorysných rozměrech 6,8 x 4,1 m. Objekt je založen v hloubce 0,9 m pod úrovní stávajícího terénu, tedy ve vrstvách prachové hlíny s vápencem, uvažovaná třída je tedy F4 – CS s uvažovanou minimální tabulkovou výpočtovou únostností Rdt = 150 KPa. Objekt je z</w:t>
      </w:r>
      <w:r>
        <w:t xml:space="preserve">aložen </w:t>
      </w:r>
      <w:r>
        <w:t xml:space="preserve">na základových pasech z prostého betonu C20/25 – XC2. Základové pasy jsou o rozměrech 0,4 m a výšky 0,75 m. </w:t>
      </w:r>
      <w:r/>
    </w:p>
    <w:p>
      <w:pPr>
        <w:pStyle w:val="1065"/>
        <w:pBdr/>
        <w:spacing w:line="276" w:lineRule="auto"/>
        <w:ind w:firstLine="708"/>
        <w:rPr/>
      </w:pPr>
      <w:r/>
      <w:r/>
    </w:p>
    <w:p>
      <w:pPr>
        <w:pStyle w:val="1065"/>
        <w:pBdr/>
        <w:spacing w:line="276" w:lineRule="auto"/>
        <w:ind w:firstLine="708"/>
        <w:rPr>
          <w:highlight w:val="none"/>
        </w:rPr>
      </w:pPr>
      <w:r>
        <w:t xml:space="preserve">Základová </w:t>
      </w:r>
      <w:r>
        <w:t xml:space="preserve">deska je řešena v celém půdorysu, je řešena jako monolitická podlahová deska o tl. 150 mm. V desce se nachází odtoková jímka zakrytá pororoštem. Vyztužení bude řešeno KARI sítěmi.</w:t>
      </w:r>
      <w:r>
        <w:t xml:space="preserve"> Základová deska je řešena ve stavebně konstrukčním řešení, které je nedílnou součástí této PD. </w:t>
      </w:r>
      <w:r>
        <w:rPr>
          <w:highlight w:val="none"/>
        </w:rPr>
      </w:r>
      <w:r>
        <w:rPr>
          <w:highlight w:val="none"/>
        </w:rPr>
      </w:r>
    </w:p>
    <w:p>
      <w:pPr>
        <w:pStyle w:val="1065"/>
        <w:pBdr/>
        <w:spacing w:line="276" w:lineRule="auto"/>
        <w:ind w:firstLine="708"/>
        <w:rPr/>
      </w:pPr>
      <w:r>
        <w:rPr>
          <w:highlight w:val="none"/>
        </w:rPr>
        <w:t xml:space="preserve">Objekt kalolisovny a dřevěný přístřešek jsou založeny samostatně. </w:t>
      </w:r>
      <w:r>
        <w:rPr>
          <w:highlight w:val="none"/>
        </w:rPr>
      </w:r>
      <w:r/>
    </w:p>
    <w:p>
      <w:pPr>
        <w:pStyle w:val="1065"/>
        <w:pBdr/>
        <w:spacing w:line="276" w:lineRule="auto"/>
        <w:ind/>
        <w:rPr/>
      </w:pPr>
      <w:r/>
      <w:r/>
    </w:p>
    <w:p>
      <w:pPr>
        <w:pStyle w:val="1068"/>
        <w:pBdr/>
        <w:spacing w:before="0" w:line="276" w:lineRule="auto"/>
        <w:ind/>
        <w:rPr/>
      </w:pPr>
      <w:r/>
      <w:bookmarkStart w:id="17" w:name="_Toc200920516"/>
      <w:r>
        <w:t xml:space="preserve">svislé nosné konstrukce</w:t>
      </w:r>
      <w:bookmarkEnd w:id="17"/>
      <w:r/>
      <w:r/>
    </w:p>
    <w:p>
      <w:pPr>
        <w:pStyle w:val="1065"/>
        <w:pBdr/>
        <w:spacing w:line="276" w:lineRule="auto"/>
        <w:ind/>
        <w:rPr/>
      </w:pPr>
      <w:r>
        <w:t xml:space="preserve">Svislé nosné konstrukce jsou navrženy z </w:t>
      </w:r>
      <w:r>
        <w:t xml:space="preserve">pálených</w:t>
      </w:r>
      <w:r>
        <w:t xml:space="preserve"> tvárnic šířky 300 mm s uvažovanou výškou spáry 250 mm. Minimální pevnost tvarovek je stanovena P10, malty M5,0. </w:t>
      </w:r>
      <w:r>
        <w:t xml:space="preserve">Vnější omítka bude štuková s dvojnásobným akrylovým nátěrem. Vnitřní omítka bude štuková s omyvatelným nátěrem. </w:t>
      </w:r>
      <w:r/>
    </w:p>
    <w:p>
      <w:pPr>
        <w:pStyle w:val="1065"/>
        <w:pBdr/>
        <w:spacing w:line="276" w:lineRule="auto"/>
        <w:ind/>
        <w:rPr/>
      </w:pPr>
      <w:r/>
      <w:r/>
    </w:p>
    <w:p>
      <w:pPr>
        <w:pStyle w:val="1065"/>
        <w:pBdr/>
        <w:spacing w:line="276" w:lineRule="auto"/>
        <w:ind/>
        <w:rPr>
          <w:b/>
          <w:u w:val="single"/>
        </w:rPr>
      </w:pPr>
      <w:r>
        <w:rPr>
          <w:b/>
          <w:u w:val="single"/>
        </w:rPr>
        <w:t xml:space="preserve">Skladba svislé nosné konstrukce:</w:t>
      </w:r>
      <w:r>
        <w:rPr>
          <w:b/>
          <w:u w:val="single"/>
        </w:rPr>
      </w:r>
      <w:r>
        <w:rPr>
          <w:b/>
          <w:u w:val="single"/>
        </w:rPr>
      </w:r>
    </w:p>
    <w:p>
      <w:pPr>
        <w:pStyle w:val="1065"/>
        <w:numPr>
          <w:ilvl w:val="0"/>
          <w:numId w:val="48"/>
        </w:numPr>
        <w:pBdr/>
        <w:spacing w:line="276" w:lineRule="auto"/>
        <w:ind/>
        <w:rPr/>
      </w:pPr>
      <w:r>
        <w:t xml:space="preserve">2x akrylový nátěr – omítky</w:t>
      </w:r>
      <w:r/>
    </w:p>
    <w:p>
      <w:pPr>
        <w:pStyle w:val="1065"/>
        <w:numPr>
          <w:ilvl w:val="0"/>
          <w:numId w:val="48"/>
        </w:numPr>
        <w:pBdr/>
        <w:spacing w:line="276" w:lineRule="auto"/>
        <w:ind/>
        <w:rPr/>
      </w:pPr>
      <w:r>
        <w:t xml:space="preserve">Penetrační nátěr akrylátový</w:t>
      </w:r>
      <w:r/>
    </w:p>
    <w:p>
      <w:pPr>
        <w:pStyle w:val="1065"/>
        <w:numPr>
          <w:ilvl w:val="0"/>
          <w:numId w:val="48"/>
        </w:numPr>
        <w:pBdr/>
        <w:spacing w:line="276" w:lineRule="auto"/>
        <w:ind/>
        <w:rPr/>
      </w:pPr>
      <w:r>
        <w:t xml:space="preserve">Štuková omítka vápenocementová</w:t>
      </w:r>
      <w:r/>
    </w:p>
    <w:p>
      <w:pPr>
        <w:pStyle w:val="1065"/>
        <w:numPr>
          <w:ilvl w:val="0"/>
          <w:numId w:val="48"/>
        </w:numPr>
        <w:pBdr/>
        <w:spacing w:line="276" w:lineRule="auto"/>
        <w:ind/>
        <w:rPr/>
      </w:pPr>
      <w:r>
        <w:t xml:space="preserve">Zdivo Porotherm tl. 300 mm</w:t>
      </w:r>
      <w:r/>
    </w:p>
    <w:p>
      <w:pPr>
        <w:pStyle w:val="1065"/>
        <w:numPr>
          <w:ilvl w:val="0"/>
          <w:numId w:val="48"/>
        </w:numPr>
        <w:pBdr/>
        <w:spacing w:line="276" w:lineRule="auto"/>
        <w:ind/>
        <w:rPr/>
      </w:pPr>
      <w:r>
        <w:t xml:space="preserve">Vnitřní štuková omítka vápenocementová</w:t>
      </w:r>
      <w:r/>
    </w:p>
    <w:p>
      <w:pPr>
        <w:pStyle w:val="1065"/>
        <w:numPr>
          <w:ilvl w:val="0"/>
          <w:numId w:val="48"/>
        </w:numPr>
        <w:pBdr/>
        <w:spacing w:line="276" w:lineRule="auto"/>
        <w:ind/>
        <w:rPr/>
      </w:pPr>
      <w:r>
        <w:t xml:space="preserve">Vodovzdorný nátěr omyvatelný</w:t>
      </w:r>
      <w:r/>
    </w:p>
    <w:p>
      <w:pPr>
        <w:pStyle w:val="1065"/>
        <w:pBdr/>
        <w:spacing w:line="276" w:lineRule="auto"/>
        <w:ind/>
        <w:rPr/>
      </w:pPr>
      <w:r/>
      <w:r/>
    </w:p>
    <w:p>
      <w:pPr>
        <w:pStyle w:val="1068"/>
        <w:pBdr/>
        <w:spacing w:before="0" w:line="276" w:lineRule="auto"/>
        <w:ind/>
        <w:rPr/>
      </w:pPr>
      <w:r/>
      <w:bookmarkStart w:id="18" w:name="_Toc200920517"/>
      <w:r>
        <w:t xml:space="preserve">VODOROVNÉ</w:t>
      </w:r>
      <w:r>
        <w:t xml:space="preserve"> </w:t>
      </w:r>
      <w:r>
        <w:t xml:space="preserve">konstrukce</w:t>
      </w:r>
      <w:bookmarkEnd w:id="18"/>
      <w:r/>
      <w:r/>
    </w:p>
    <w:p>
      <w:pPr>
        <w:pStyle w:val="1065"/>
        <w:pBdr/>
        <w:spacing w:line="276" w:lineRule="auto"/>
        <w:ind/>
        <w:rPr/>
      </w:pPr>
      <w:r>
        <w:t xml:space="preserve">Pod navrženou střešní konstrukcí bude vybudován železobetonový věnec 300/200 z betonu C20/25 – XC2, krytí výztuže bude 25 mm. Podélná výztuž bude 4</w:t>
      </w:r>
      <w:r>
        <w:t xml:space="preserve">øR12</w:t>
      </w:r>
      <w:r>
        <w:t xml:space="preserve"> v rozích, dvojstřižné třmínky øR6 po 150 mm.</w:t>
      </w:r>
      <w:r/>
    </w:p>
    <w:p>
      <w:pPr>
        <w:pStyle w:val="1065"/>
        <w:pBdr/>
        <w:spacing w:line="276" w:lineRule="auto"/>
        <w:ind/>
        <w:rPr/>
      </w:pPr>
      <w:r/>
      <w:r/>
    </w:p>
    <w:p>
      <w:pPr>
        <w:pStyle w:val="1065"/>
        <w:pBdr/>
        <w:spacing w:line="276" w:lineRule="auto"/>
        <w:ind/>
        <w:rPr>
          <w:b/>
          <w:u w:val="single"/>
        </w:rPr>
      </w:pPr>
      <w:r>
        <w:rPr>
          <w:b/>
          <w:u w:val="single"/>
        </w:rPr>
        <w:t xml:space="preserve">Skladba vodorovné konstrukce:</w:t>
      </w:r>
      <w:r>
        <w:rPr>
          <w:b/>
          <w:u w:val="single"/>
        </w:rPr>
      </w:r>
      <w:r>
        <w:rPr>
          <w:b/>
          <w:u w:val="single"/>
        </w:rPr>
      </w:r>
    </w:p>
    <w:p>
      <w:pPr>
        <w:pStyle w:val="1065"/>
        <w:numPr>
          <w:ilvl w:val="0"/>
          <w:numId w:val="48"/>
        </w:numPr>
        <w:pBdr/>
        <w:spacing w:line="276" w:lineRule="auto"/>
        <w:ind/>
        <w:rPr/>
      </w:pPr>
      <w:r>
        <w:t xml:space="preserve">2x akrylový nátěr – podlaha</w:t>
      </w:r>
      <w:r/>
    </w:p>
    <w:p>
      <w:pPr>
        <w:pStyle w:val="1065"/>
        <w:numPr>
          <w:ilvl w:val="0"/>
          <w:numId w:val="48"/>
        </w:numPr>
        <w:pBdr/>
        <w:spacing w:line="276" w:lineRule="auto"/>
        <w:ind/>
        <w:rPr/>
      </w:pPr>
      <w:r>
        <w:t xml:space="preserve">Vyčištěná podlaha z</w:t>
      </w:r>
      <w:r>
        <w:t xml:space="preserve"> betonové mazaniny</w:t>
      </w:r>
      <w:r>
        <w:t xml:space="preserve"> B20 – tl. 100 mm</w:t>
      </w:r>
      <w:r/>
    </w:p>
    <w:p>
      <w:pPr>
        <w:pStyle w:val="1065"/>
        <w:numPr>
          <w:ilvl w:val="0"/>
          <w:numId w:val="48"/>
        </w:numPr>
        <w:pBdr/>
        <w:spacing w:line="276" w:lineRule="auto"/>
        <w:ind/>
        <w:rPr/>
      </w:pPr>
      <w:r>
        <w:t xml:space="preserve">Penetrační nátěr + 2x IPA</w:t>
      </w:r>
      <w:r/>
    </w:p>
    <w:p>
      <w:pPr>
        <w:pStyle w:val="1065"/>
        <w:numPr>
          <w:ilvl w:val="0"/>
          <w:numId w:val="48"/>
        </w:numPr>
        <w:pBdr/>
        <w:spacing w:line="276" w:lineRule="auto"/>
        <w:ind/>
        <w:rPr/>
      </w:pPr>
      <w:r>
        <w:t xml:space="preserve">Železobetonová deska tl. 150 mm</w:t>
      </w:r>
      <w:r/>
    </w:p>
    <w:p>
      <w:pPr>
        <w:pStyle w:val="1065"/>
        <w:numPr>
          <w:ilvl w:val="0"/>
          <w:numId w:val="48"/>
        </w:numPr>
        <w:pBdr/>
        <w:spacing w:line="276" w:lineRule="auto"/>
        <w:ind/>
        <w:rPr/>
      </w:pPr>
      <w:r>
        <w:t xml:space="preserve">Štěrkodrť 0-36 mm tl. 200 mm </w:t>
      </w:r>
      <w:r/>
    </w:p>
    <w:p>
      <w:pPr>
        <w:pStyle w:val="1065"/>
        <w:pBdr/>
        <w:spacing w:line="276" w:lineRule="auto"/>
        <w:ind/>
        <w:rPr/>
      </w:pPr>
      <w:r/>
      <w:r/>
    </w:p>
    <w:p>
      <w:pPr>
        <w:pStyle w:val="1065"/>
        <w:pBdr/>
        <w:spacing w:line="276" w:lineRule="auto"/>
        <w:ind/>
        <w:rPr/>
      </w:pPr>
      <w:r>
        <w:t xml:space="preserve">Podlaha bude vyspádována k odvodňovací jímce, odkud budou vody odváděny kanalizačním potrubím PVC DN150. Odpadní jímka bude zakryta pororoštem P1.</w:t>
      </w:r>
      <w:r/>
    </w:p>
    <w:p>
      <w:pPr>
        <w:pStyle w:val="1065"/>
        <w:pBdr/>
        <w:spacing w:line="276" w:lineRule="auto"/>
        <w:ind/>
        <w:rPr/>
      </w:pPr>
      <w:r/>
      <w:r/>
    </w:p>
    <w:p>
      <w:pPr>
        <w:pStyle w:val="1065"/>
        <w:pBdr/>
        <w:spacing w:line="276" w:lineRule="auto"/>
        <w:ind/>
        <w:rPr/>
      </w:pPr>
      <w:r>
        <w:t xml:space="preserve">Na okenními otvory budou systémové překlady. </w:t>
      </w:r>
      <w:r/>
    </w:p>
    <w:p>
      <w:pPr>
        <w:pStyle w:val="1065"/>
        <w:pBdr/>
        <w:spacing w:line="276" w:lineRule="auto"/>
        <w:ind/>
        <w:rPr/>
      </w:pPr>
      <w:r/>
      <w:r/>
    </w:p>
    <w:p>
      <w:pPr>
        <w:pStyle w:val="1068"/>
        <w:pBdr/>
        <w:spacing w:before="0" w:line="276" w:lineRule="auto"/>
        <w:ind/>
        <w:rPr/>
      </w:pPr>
      <w:r/>
      <w:bookmarkStart w:id="19" w:name="_Toc200920518"/>
      <w:r>
        <w:t xml:space="preserve">ZASTŘEŠENÍ</w:t>
      </w:r>
      <w:bookmarkEnd w:id="19"/>
      <w:r/>
      <w:r/>
    </w:p>
    <w:p>
      <w:pPr>
        <w:pStyle w:val="1065"/>
        <w:pBdr/>
        <w:spacing w:line="276" w:lineRule="auto"/>
        <w:ind/>
        <w:rPr/>
      </w:pPr>
      <w:r>
        <w:t xml:space="preserve">Zastřešení bude provedeno z průmyslových dřevěných sbíjených vazníků osazených po cca 1m. Stabilita bude zajištěna </w:t>
      </w:r>
      <w:r>
        <w:t xml:space="preserve">zavětrováním prkny v rovině střechy, případně budou ve svislé rovině mezi středními sloupky dřevěné příhradové vazníky. Rovina spodních pásů vazníku bude zavětrována tak, aby došlo k roznášení vodorovného zatížení ze svislých stěn. </w:t>
      </w:r>
      <w:r>
        <w:t xml:space="preserve">Střecha bude sedlová o sklonu 40°.</w:t>
      </w:r>
      <w:r>
        <w:t xml:space="preserve"> Podél hřebenu bude celkem 18 ks větracích tašek. Nosná konstrukce střechy bude řešena plnostěnnými vaznicemi (trámy), variantně budou sbíjené nosníky. </w:t>
      </w:r>
      <w:r/>
    </w:p>
    <w:p>
      <w:pPr>
        <w:pStyle w:val="1065"/>
        <w:pBdr/>
        <w:spacing w:line="276" w:lineRule="auto"/>
        <w:ind/>
        <w:rPr/>
      </w:pPr>
      <w:r/>
      <w:r/>
    </w:p>
    <w:p>
      <w:pPr>
        <w:pStyle w:val="1065"/>
        <w:pBdr/>
        <w:spacing w:line="276" w:lineRule="auto"/>
        <w:ind/>
        <w:rPr>
          <w:b/>
          <w:u w:val="single"/>
        </w:rPr>
      </w:pPr>
      <w:r>
        <w:rPr>
          <w:b/>
          <w:u w:val="single"/>
        </w:rPr>
        <w:t xml:space="preserve">Skladba střešní konstrukce:</w:t>
      </w:r>
      <w:r>
        <w:rPr>
          <w:b/>
          <w:u w:val="single"/>
        </w:rPr>
      </w:r>
      <w:r>
        <w:rPr>
          <w:b/>
          <w:u w:val="single"/>
        </w:rPr>
      </w:r>
    </w:p>
    <w:p>
      <w:pPr>
        <w:pStyle w:val="1065"/>
        <w:numPr>
          <w:ilvl w:val="0"/>
          <w:numId w:val="48"/>
        </w:numPr>
        <w:pBdr/>
        <w:spacing w:line="276" w:lineRule="auto"/>
        <w:ind/>
        <w:rPr/>
      </w:pPr>
      <w:r>
        <w:t xml:space="preserve">Střešní krytina – betonová taška, máčená, červená</w:t>
      </w:r>
      <w:r/>
    </w:p>
    <w:p>
      <w:pPr>
        <w:pStyle w:val="1065"/>
        <w:numPr>
          <w:ilvl w:val="0"/>
          <w:numId w:val="48"/>
        </w:numPr>
        <w:pBdr/>
        <w:spacing w:line="276" w:lineRule="auto"/>
        <w:ind/>
        <w:rPr/>
      </w:pPr>
      <w:r>
        <w:t xml:space="preserve">Lať 40 x 60 mm</w:t>
      </w:r>
      <w:r/>
    </w:p>
    <w:p>
      <w:pPr>
        <w:pStyle w:val="1065"/>
        <w:numPr>
          <w:ilvl w:val="0"/>
          <w:numId w:val="48"/>
        </w:numPr>
        <w:pBdr/>
        <w:spacing w:line="276" w:lineRule="auto"/>
        <w:ind/>
        <w:rPr/>
      </w:pPr>
      <w:r>
        <w:t xml:space="preserve">Krokev 100 x 140 mm </w:t>
      </w:r>
      <w:r/>
    </w:p>
    <w:p>
      <w:pPr>
        <w:pStyle w:val="1065"/>
        <w:pBdr/>
        <w:spacing w:line="276" w:lineRule="auto"/>
        <w:ind/>
        <w:rPr/>
      </w:pPr>
      <w:r/>
      <w:r/>
    </w:p>
    <w:p>
      <w:pPr>
        <w:pStyle w:val="1065"/>
        <w:pBdr/>
        <w:spacing w:line="276" w:lineRule="auto"/>
        <w:ind/>
        <w:rPr/>
      </w:pPr>
      <w:r>
        <w:t xml:space="preserve">Materiálem bude dřevo C22, ocel S235. Spoje bude tesařské, pozinkované ocelové destičky. </w:t>
      </w:r>
      <w:r/>
    </w:p>
    <w:p>
      <w:pPr>
        <w:pStyle w:val="1065"/>
        <w:pBdr/>
        <w:spacing w:line="276" w:lineRule="auto"/>
        <w:ind/>
        <w:rPr/>
      </w:pPr>
      <w:r/>
      <w:r/>
    </w:p>
    <w:p>
      <w:pPr>
        <w:pStyle w:val="1065"/>
        <w:pBdr/>
        <w:spacing w:line="276" w:lineRule="auto"/>
        <w:ind/>
        <w:rPr/>
      </w:pPr>
      <w:r>
        <w:t xml:space="preserve">Okapy budou svedeny do stávajícího obvodového žlabu u svahu za objektem. </w:t>
      </w:r>
      <w:r/>
    </w:p>
    <w:p>
      <w:pPr>
        <w:pStyle w:val="1065"/>
        <w:pBdr/>
        <w:spacing w:line="276" w:lineRule="auto"/>
        <w:ind/>
        <w:rPr/>
      </w:pPr>
      <w:r/>
      <w:r/>
    </w:p>
    <w:p>
      <w:pPr>
        <w:pStyle w:val="1068"/>
        <w:pBdr/>
        <w:spacing w:before="0" w:line="276" w:lineRule="auto"/>
        <w:ind/>
        <w:rPr/>
      </w:pPr>
      <w:r/>
      <w:bookmarkStart w:id="20" w:name="_Toc200920519"/>
      <w:r>
        <w:t xml:space="preserve">PŘÍSTŘEŠEK NA KONTEJNER</w:t>
      </w:r>
      <w:bookmarkEnd w:id="20"/>
      <w:r/>
      <w:r/>
    </w:p>
    <w:p>
      <w:pPr>
        <w:pStyle w:val="1065"/>
        <w:pBdr/>
        <w:spacing w:line="276" w:lineRule="auto"/>
        <w:ind w:firstLine="708"/>
        <w:rPr/>
      </w:pPr>
      <w:r>
        <w:t xml:space="preserve">Východním směrem od kalolisovny bude vybudován dřevěný přístřešek pro umístění kontejneru na lisovaný kal. Konstrukce bude řešena prodloužením střešní konstrukce z objektu kalolisovny. Přístřešek bude na</w:t>
      </w:r>
      <w:r>
        <w:t xml:space="preserve"> dř</w:t>
      </w:r>
      <w:r>
        <w:t xml:space="preserve">evěné konstrukci. Sloupy přístřešku budou osazeny na základových pasech o šířce 0,4 m, nosné ŽB desce tl. 150 mm. Na základové desce bude proveden spádový beton o tl. 100 – 150 mm – vyspárovaný do odtokové jímky. Odtoková jímka bude zakryta pororoštem P2. </w:t>
      </w:r>
      <w:r>
        <w:t xml:space="preserve">Voda bude odváděny kanalizačním potrubím PVC DN150 do stávajícího objektu ČOV. </w:t>
      </w:r>
      <w:r/>
    </w:p>
    <w:p>
      <w:pPr>
        <w:pStyle w:val="1068"/>
        <w:pBdr/>
        <w:spacing w:line="276" w:lineRule="auto"/>
        <w:ind/>
        <w:rPr>
          <w:highlight w:val="none"/>
        </w:rPr>
      </w:pPr>
      <w:r>
        <w:rPr>
          <w:highlight w:val="none"/>
        </w:rPr>
      </w:r>
      <w:bookmarkStart w:id="21" w:name="_Toc200920520"/>
      <w:r>
        <w:rPr>
          <w:highlight w:val="none"/>
        </w:rPr>
        <w:t xml:space="preserve">TRUBNÍ PROSTUPY</w:t>
      </w:r>
      <w:bookmarkEnd w:id="21"/>
      <w:r>
        <w:rPr>
          <w:highlight w:val="none"/>
        </w:rPr>
      </w:r>
      <w:r>
        <w:rPr>
          <w:highlight w:val="none"/>
        </w:rPr>
      </w:r>
    </w:p>
    <w:p>
      <w:pPr>
        <w:pStyle w:val="1069"/>
        <w:pBdr/>
        <w:spacing w:line="276" w:lineRule="auto"/>
        <w:ind/>
        <w:rPr/>
      </w:pPr>
      <w:r>
        <w:t xml:space="preserve">PROSTUP "A"  (PRO POTRUBÍ DN25 – PITNÁ VODA) V NADZEMNÍ ČÁSTI, ZDĚNÁ STĚNA</w:t>
      </w:r>
      <w:r/>
    </w:p>
    <w:p>
      <w:pPr>
        <w:pStyle w:val="1065"/>
        <w:numPr>
          <w:ilvl w:val="0"/>
          <w:numId w:val="52"/>
        </w:numPr>
        <w:pBdr/>
        <w:spacing w:line="276" w:lineRule="auto"/>
        <w:ind/>
        <w:rPr>
          <w:rFonts w:cs="Arial"/>
        </w:rPr>
      </w:pPr>
      <w:r>
        <w:rPr>
          <w:rFonts w:cs="Arial"/>
        </w:rPr>
        <w:t xml:space="preserve">prostup pro potrubí pitné vody DN25</w:t>
      </w: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</w:p>
    <w:p>
      <w:pPr>
        <w:pStyle w:val="1065"/>
        <w:numPr>
          <w:ilvl w:val="0"/>
          <w:numId w:val="52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  <w:t xml:space="preserve">zatěsnění potrubí viz technické požadavky výrobce potrubí</w:t>
      </w:r>
      <w:r>
        <w:rPr>
          <w:rFonts w:cs="Arial"/>
        </w:rPr>
        <w:t xml:space="preserve">, bude řešeno s dodavatelem</w:t>
      </w:r>
      <w:r>
        <w:rPr>
          <w:rFonts w:cs="Arial"/>
        </w:rPr>
      </w:r>
    </w:p>
    <w:p>
      <w:pPr>
        <w:pStyle w:val="1065"/>
        <w:numPr>
          <w:ilvl w:val="0"/>
          <w:numId w:val="52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</w:r>
      <w:r>
        <w:rPr>
          <w:rFonts w:cs="Arial"/>
          <w:highlight w:val="none"/>
        </w:rPr>
        <w:t xml:space="preserve">napojovací část trouby bude vložena do bednění a obalena bentonitovými pásy, v případě potřeby napojení i na druhé straně bude trouba obalena mirelonem</w:t>
      </w:r>
      <w:r>
        <w:rPr>
          <w:rFonts w:cs="Arial"/>
          <w:highlight w:val="none"/>
        </w:rPr>
      </w:r>
      <w:r>
        <w:rPr>
          <w:rFonts w:cs="Arial"/>
          <w:highlight w:val="none"/>
        </w:rPr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</w:r>
      <w:r>
        <w:rPr>
          <w:rFonts w:cs="Arial"/>
          <w:highlight w:val="none"/>
        </w:rPr>
      </w:r>
      <w:r>
        <w:rPr>
          <w:rFonts w:cs="Arial"/>
        </w:rPr>
      </w:r>
    </w:p>
    <w:p>
      <w:pPr>
        <w:pStyle w:val="1065"/>
        <w:numPr>
          <w:ilvl w:val="0"/>
          <w:numId w:val="52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  <w:t xml:space="preserve">výšková k</w:t>
      </w:r>
      <w:r>
        <w:rPr>
          <w:rFonts w:cs="Arial"/>
          <w:highlight w:val="none"/>
        </w:rPr>
        <w:t xml:space="preserve">óta k ose potrubí +0,550m </w:t>
      </w:r>
      <w:r>
        <w:rPr>
          <w:rFonts w:cs="Arial"/>
        </w:rPr>
      </w:r>
      <w:r>
        <w:rPr>
          <w:rFonts w:cs="Arial"/>
        </w:rPr>
      </w:r>
    </w:p>
    <w:p>
      <w:pPr>
        <w:pStyle w:val="1069"/>
        <w:pBdr/>
        <w:spacing w:line="276" w:lineRule="auto"/>
        <w:ind/>
        <w:rPr/>
      </w:pPr>
      <w:r>
        <w:t xml:space="preserve">PROSTUP "B"  (PRO POTRUBÍ DN25 – PITNÁ VODA) V NADZEMNÍ ČÁSTI, ZDĚNÁ STĚNA</w:t>
      </w:r>
      <w:r/>
    </w:p>
    <w:p>
      <w:pPr>
        <w:pStyle w:val="1065"/>
        <w:numPr>
          <w:ilvl w:val="0"/>
          <w:numId w:val="54"/>
        </w:numPr>
        <w:pBdr/>
        <w:spacing w:line="276" w:lineRule="auto"/>
        <w:ind/>
        <w:rPr>
          <w:rFonts w:cs="Arial"/>
        </w:rPr>
      </w:pPr>
      <w:r>
        <w:rPr>
          <w:rFonts w:cs="Arial"/>
        </w:rPr>
        <w:t xml:space="preserve">prostup pro potrubí pitné vody DN25</w:t>
      </w:r>
      <w:r>
        <w:rPr>
          <w:rFonts w:cs="Arial"/>
        </w:rPr>
      </w:r>
      <w:r>
        <w:rPr>
          <w:rFonts w:cs="Arial"/>
        </w:rPr>
      </w:r>
    </w:p>
    <w:p>
      <w:pPr>
        <w:pStyle w:val="1065"/>
        <w:numPr>
          <w:ilvl w:val="0"/>
          <w:numId w:val="72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  <w:t xml:space="preserve">zatěsnění potrubí viz technické požadavky výrobce potrubí</w:t>
      </w:r>
      <w:r>
        <w:rPr>
          <w:rFonts w:cs="Arial"/>
        </w:rPr>
        <w:t xml:space="preserve">, </w:t>
      </w:r>
      <w:r>
        <w:rPr>
          <w:rFonts w:cs="Arial"/>
        </w:rPr>
      </w:r>
      <w:r>
        <w:rPr>
          <w:rFonts w:cs="Arial"/>
        </w:rPr>
        <w:t xml:space="preserve">bude řešeno s dodavatelem</w:t>
      </w:r>
      <w:r/>
      <w:r>
        <w:rPr>
          <w:rFonts w:cs="Arial"/>
        </w:rPr>
      </w:r>
    </w:p>
    <w:p>
      <w:pPr>
        <w:pStyle w:val="1065"/>
        <w:numPr>
          <w:ilvl w:val="0"/>
          <w:numId w:val="72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</w:r>
      <w:r>
        <w:rPr>
          <w:rFonts w:cs="Arial"/>
          <w:highlight w:val="none"/>
        </w:rPr>
        <w:t xml:space="preserve">napojovací část trouby bude vložena do bednění a obalena bentonitovými pásy, v případě potřeby napojení i na druhé straně bude trouba obalena mirelonem</w:t>
      </w:r>
      <w:r>
        <w:rPr>
          <w:rFonts w:cs="Arial"/>
          <w:highlight w:val="none"/>
        </w:rPr>
        <w:t xml:space="preserve"> </w:t>
      </w: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  <w:r/>
      <w:r>
        <w:rPr>
          <w:rFonts w:cs="Arial"/>
        </w:rPr>
      </w:r>
    </w:p>
    <w:p>
      <w:pPr>
        <w:pStyle w:val="1065"/>
        <w:numPr>
          <w:ilvl w:val="0"/>
          <w:numId w:val="54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  <w:t xml:space="preserve">výšková k</w:t>
      </w:r>
      <w:r>
        <w:rPr>
          <w:rFonts w:cs="Arial"/>
          <w:highlight w:val="none"/>
        </w:rPr>
        <w:t xml:space="preserve">óta k ose potrubí +0,550m </w:t>
      </w:r>
      <w:r>
        <w:rPr>
          <w:rFonts w:cs="Arial"/>
        </w:rPr>
      </w:r>
      <w:r>
        <w:rPr>
          <w:rFonts w:cs="Arial"/>
        </w:rPr>
      </w:r>
    </w:p>
    <w:p>
      <w:pPr>
        <w:pStyle w:val="1069"/>
        <w:pBdr/>
        <w:spacing w:line="276" w:lineRule="auto"/>
        <w:ind/>
        <w:rPr/>
      </w:pPr>
      <w:r>
        <w:t xml:space="preserve">PROSTUP "C"  (PRO POTRUBÍ DN65 – POTRUBÍ KALU) </w:t>
      </w:r>
      <w:r/>
    </w:p>
    <w:p>
      <w:pPr>
        <w:pStyle w:val="1065"/>
        <w:numPr>
          <w:ilvl w:val="0"/>
          <w:numId w:val="56"/>
        </w:numPr>
        <w:pBdr/>
        <w:spacing w:line="276" w:lineRule="auto"/>
        <w:ind/>
        <w:rPr>
          <w:rFonts w:cs="Arial"/>
        </w:rPr>
      </w:pPr>
      <w:r>
        <w:rPr>
          <w:rFonts w:cs="Arial"/>
        </w:rPr>
        <w:t xml:space="preserve">prostup pro potrubí kalu DN65</w:t>
      </w:r>
      <w:r>
        <w:rPr>
          <w:rFonts w:cs="Arial"/>
        </w:rPr>
      </w:r>
      <w:r>
        <w:rPr>
          <w:rFonts w:cs="Arial"/>
        </w:rPr>
      </w:r>
    </w:p>
    <w:p>
      <w:pPr>
        <w:pStyle w:val="1065"/>
        <w:numPr>
          <w:ilvl w:val="0"/>
          <w:numId w:val="70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  <w:t xml:space="preserve">zatěsnění potrubí viz technické požadavky výrobce potrubí</w:t>
      </w:r>
      <w:r>
        <w:rPr>
          <w:rFonts w:cs="Arial"/>
        </w:rPr>
      </w:r>
      <w:r>
        <w:rPr>
          <w:rFonts w:cs="Arial"/>
        </w:rPr>
        <w:t xml:space="preserve">, bude řešeno s dodavatelem</w:t>
      </w:r>
      <w:r/>
      <w:r>
        <w:rPr>
          <w:rFonts w:cs="Arial"/>
        </w:rPr>
      </w:r>
    </w:p>
    <w:p>
      <w:pPr>
        <w:pStyle w:val="1065"/>
        <w:numPr>
          <w:ilvl w:val="0"/>
          <w:numId w:val="70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</w:r>
      <w:r>
        <w:rPr>
          <w:rFonts w:cs="Arial"/>
          <w:highlight w:val="none"/>
        </w:rPr>
        <w:t xml:space="preserve">napojovací část trouby bude vložena do bednění a obalena bentonitovými pásy, v případě potřeby napojení i na druhé straně bude trouba obalena mirelonem</w:t>
      </w:r>
      <w:r>
        <w:rPr>
          <w:rFonts w:cs="Arial"/>
          <w:highlight w:val="none"/>
        </w:rPr>
        <w:t xml:space="preserve"> </w:t>
      </w:r>
      <w:r>
        <w:rPr>
          <w:rFonts w:cs="Arial"/>
        </w:rPr>
      </w:r>
      <w:r>
        <w:rPr>
          <w:rFonts w:cs="Arial"/>
        </w:rPr>
      </w:r>
      <w:r>
        <w:rPr>
          <w:rFonts w:cs="Arial"/>
          <w:highlight w:val="none"/>
        </w:rPr>
      </w:r>
      <w:r>
        <w:rPr>
          <w:rFonts w:cs="Arial"/>
        </w:rPr>
      </w:r>
      <w:r/>
      <w:r>
        <w:rPr>
          <w:rFonts w:cs="Arial"/>
        </w:rPr>
      </w:r>
    </w:p>
    <w:p>
      <w:pPr>
        <w:pStyle w:val="1065"/>
        <w:numPr>
          <w:ilvl w:val="0"/>
          <w:numId w:val="56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  <w:t xml:space="preserve">výšková k</w:t>
      </w:r>
      <w:r>
        <w:rPr>
          <w:rFonts w:cs="Arial"/>
          <w:highlight w:val="none"/>
        </w:rPr>
        <w:t xml:space="preserve">óta k ose potrubí -1,050m </w:t>
      </w:r>
      <w:r>
        <w:rPr>
          <w:rFonts w:cs="Arial"/>
        </w:rPr>
      </w:r>
      <w:r>
        <w:rPr>
          <w:rFonts w:cs="Arial"/>
        </w:rPr>
      </w:r>
    </w:p>
    <w:p>
      <w:pPr>
        <w:pStyle w:val="1069"/>
        <w:pBdr/>
        <w:spacing w:line="276" w:lineRule="auto"/>
        <w:ind/>
        <w:rPr/>
      </w:pPr>
      <w:r>
        <w:t xml:space="preserve">PROSTUP "D"  (PRO POTRUBÍ DN150)</w:t>
      </w:r>
      <w:r/>
    </w:p>
    <w:p>
      <w:pPr>
        <w:pStyle w:val="1065"/>
        <w:numPr>
          <w:ilvl w:val="0"/>
          <w:numId w:val="58"/>
        </w:numPr>
        <w:pBdr/>
        <w:spacing w:line="276" w:lineRule="auto"/>
        <w:ind/>
        <w:rPr>
          <w:rFonts w:cs="Arial"/>
        </w:rPr>
      </w:pPr>
      <w:r>
        <w:rPr>
          <w:rFonts w:cs="Arial"/>
        </w:rPr>
        <w:t xml:space="preserve">prostup pro potrubí kalu DN150</w:t>
      </w:r>
      <w:r>
        <w:rPr>
          <w:rFonts w:cs="Arial"/>
        </w:rPr>
      </w:r>
      <w:r>
        <w:rPr>
          <w:rFonts w:cs="Arial"/>
        </w:rPr>
      </w:r>
    </w:p>
    <w:p>
      <w:pPr>
        <w:pStyle w:val="1065"/>
        <w:numPr>
          <w:ilvl w:val="0"/>
          <w:numId w:val="71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  <w:t xml:space="preserve">zatěsnění potrubí viz technické požadavky výrobce potrubí</w:t>
      </w:r>
      <w:r>
        <w:rPr>
          <w:rFonts w:cs="Arial"/>
        </w:rPr>
      </w:r>
      <w:r>
        <w:rPr>
          <w:rFonts w:cs="Arial"/>
        </w:rPr>
        <w:t xml:space="preserve">,bude řešeno s dodavatelem</w:t>
      </w:r>
      <w:r/>
      <w:r>
        <w:rPr>
          <w:rFonts w:cs="Arial"/>
        </w:rPr>
      </w:r>
    </w:p>
    <w:p>
      <w:pPr>
        <w:pStyle w:val="1065"/>
        <w:numPr>
          <w:ilvl w:val="0"/>
          <w:numId w:val="71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</w:r>
      <w:r>
        <w:rPr>
          <w:rFonts w:cs="Arial"/>
          <w:highlight w:val="none"/>
        </w:rPr>
        <w:t xml:space="preserve">napojovací část trouby bude vložena do bednění a obalena bentonitovými pásy, v případě potřeby napojení i na druhé straně bude trouba obalena mirelonem</w:t>
      </w:r>
      <w:r>
        <w:rPr>
          <w:rFonts w:cs="Arial"/>
          <w:highlight w:val="none"/>
        </w:rPr>
        <w:t xml:space="preserve"> </w:t>
      </w:r>
      <w:r>
        <w:rPr>
          <w:rFonts w:cs="Arial"/>
        </w:rPr>
      </w:r>
      <w:r>
        <w:rPr>
          <w:rFonts w:cs="Arial"/>
        </w:rPr>
      </w:r>
      <w:r>
        <w:rPr>
          <w:rFonts w:cs="Arial"/>
          <w:highlight w:val="none"/>
        </w:rPr>
      </w:r>
      <w:r>
        <w:rPr>
          <w:rFonts w:cs="Arial"/>
        </w:rPr>
      </w:r>
      <w:r/>
      <w:r>
        <w:rPr>
          <w:rFonts w:cs="Arial"/>
        </w:rPr>
      </w:r>
    </w:p>
    <w:p>
      <w:pPr>
        <w:pStyle w:val="1065"/>
        <w:numPr>
          <w:ilvl w:val="0"/>
          <w:numId w:val="58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  <w:t xml:space="preserve">výšková k</w:t>
      </w:r>
      <w:r>
        <w:rPr>
          <w:rFonts w:cs="Arial"/>
          <w:highlight w:val="none"/>
        </w:rPr>
        <w:t xml:space="preserve">óta k ose potrubí -0,560m </w:t>
      </w:r>
      <w:r>
        <w:rPr>
          <w:rFonts w:cs="Arial"/>
        </w:rPr>
      </w:r>
      <w:r>
        <w:rPr>
          <w:rFonts w:cs="Arial"/>
        </w:rPr>
      </w:r>
    </w:p>
    <w:p>
      <w:pPr>
        <w:pStyle w:val="1069"/>
        <w:pBdr/>
        <w:spacing w:line="276" w:lineRule="auto"/>
        <w:ind/>
        <w:rPr/>
      </w:pPr>
      <w:r>
        <w:t xml:space="preserve">PROSTUP "E"  (ODVĚTRÁNÍ PROSTORU) V NADZEMNÍ ČÁSTI, ZDĚNÁ STĚNA</w:t>
      </w:r>
      <w:r/>
    </w:p>
    <w:p>
      <w:pPr>
        <w:pStyle w:val="1065"/>
        <w:numPr>
          <w:ilvl w:val="0"/>
          <w:numId w:val="60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  <w:t xml:space="preserve">prostup DN300</w:t>
      </w:r>
      <w:r>
        <w:rPr>
          <w:rFonts w:cs="Arial"/>
        </w:rPr>
      </w:r>
      <w:r>
        <w:rPr>
          <w:rFonts w:cs="Arial"/>
        </w:rPr>
      </w:r>
    </w:p>
    <w:p>
      <w:pPr>
        <w:pStyle w:val="1065"/>
        <w:numPr>
          <w:ilvl w:val="0"/>
          <w:numId w:val="61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  <w:t xml:space="preserve">výšková k</w:t>
      </w:r>
      <w:r>
        <w:rPr>
          <w:rFonts w:cs="Arial"/>
          <w:highlight w:val="none"/>
        </w:rPr>
        <w:t xml:space="preserve">óta k ose potrubí +2,150m </w:t>
      </w:r>
      <w:r>
        <w:rPr>
          <w:rFonts w:cs="Arial"/>
        </w:rPr>
      </w:r>
      <w:r>
        <w:rPr>
          <w:rFonts w:cs="Arial"/>
        </w:rPr>
      </w:r>
    </w:p>
    <w:p>
      <w:pPr>
        <w:pStyle w:val="1069"/>
        <w:pBdr/>
        <w:spacing w:line="276" w:lineRule="auto"/>
        <w:ind/>
        <w:rPr/>
      </w:pPr>
      <w:r>
        <w:t xml:space="preserve">PROSTUP "F"  (PRO POTRUBÍ DN150)</w:t>
      </w:r>
      <w:r/>
    </w:p>
    <w:p>
      <w:pPr>
        <w:pStyle w:val="1065"/>
        <w:numPr>
          <w:ilvl w:val="0"/>
          <w:numId w:val="63"/>
        </w:numPr>
        <w:pBdr/>
        <w:spacing w:line="276" w:lineRule="auto"/>
        <w:ind/>
        <w:rPr>
          <w:rFonts w:cs="Arial"/>
        </w:rPr>
      </w:pPr>
      <w:r>
        <w:rPr>
          <w:rFonts w:cs="Arial"/>
        </w:rPr>
        <w:t xml:space="preserve">prostup pro potrubí kalu DN150</w:t>
      </w:r>
      <w:r>
        <w:rPr>
          <w:rFonts w:cs="Arial"/>
        </w:rPr>
      </w:r>
      <w:r>
        <w:rPr>
          <w:rFonts w:cs="Arial"/>
        </w:rPr>
      </w:r>
    </w:p>
    <w:p>
      <w:pPr>
        <w:pStyle w:val="1065"/>
        <w:numPr>
          <w:ilvl w:val="0"/>
          <w:numId w:val="73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  <w:t xml:space="preserve">zatěsnění potrubí viz technické požadavky výrobce potrubí</w:t>
      </w:r>
      <w:r>
        <w:rPr>
          <w:rFonts w:cs="Arial"/>
        </w:rPr>
      </w:r>
      <w:r>
        <w:rPr>
          <w:rFonts w:cs="Arial"/>
        </w:rPr>
        <w:t xml:space="preserve">, </w:t>
      </w:r>
      <w:r>
        <w:rPr>
          <w:rFonts w:cs="Arial"/>
        </w:rPr>
      </w:r>
      <w:r>
        <w:rPr>
          <w:rFonts w:cs="Arial"/>
        </w:rPr>
        <w:t xml:space="preserve">bude řešeno s dodavatelem</w:t>
      </w:r>
      <w:r/>
      <w:r>
        <w:rPr>
          <w:rFonts w:cs="Arial"/>
        </w:rPr>
      </w:r>
    </w:p>
    <w:p>
      <w:pPr>
        <w:pStyle w:val="1065"/>
        <w:numPr>
          <w:ilvl w:val="0"/>
          <w:numId w:val="73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</w:r>
      <w:r>
        <w:rPr>
          <w:rFonts w:cs="Arial"/>
          <w:highlight w:val="none"/>
        </w:rPr>
        <w:t xml:space="preserve">napojovací část trouby bude vložena do bednění a obalena bentonitovými pásy, v případě potřeby napojení i na druhé straně bude trouba obalena mirelonem</w:t>
      </w:r>
      <w:r>
        <w:rPr>
          <w:rFonts w:cs="Arial"/>
          <w:highlight w:val="none"/>
        </w:rPr>
        <w:t xml:space="preserve"> </w:t>
      </w: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  <w:r>
        <w:rPr>
          <w:rFonts w:cs="Arial"/>
        </w:rPr>
      </w:r>
      <w:r/>
      <w:r>
        <w:rPr>
          <w:rFonts w:cs="Arial"/>
        </w:rPr>
      </w:r>
    </w:p>
    <w:p>
      <w:pPr>
        <w:pStyle w:val="1065"/>
        <w:numPr>
          <w:ilvl w:val="0"/>
          <w:numId w:val="63"/>
        </w:numPr>
        <w:pBdr/>
        <w:spacing w:line="276" w:lineRule="auto"/>
        <w:ind/>
        <w:rPr>
          <w:rFonts w:cs="Arial"/>
        </w:rPr>
      </w:pPr>
      <w:r>
        <w:rPr>
          <w:rFonts w:cs="Arial"/>
          <w:highlight w:val="none"/>
        </w:rPr>
        <w:t xml:space="preserve">výšková k</w:t>
      </w:r>
      <w:r>
        <w:rPr>
          <w:rFonts w:cs="Arial"/>
          <w:highlight w:val="none"/>
        </w:rPr>
        <w:t xml:space="preserve">óta k ose potrubí -0,680m </w:t>
      </w:r>
      <w:r>
        <w:rPr>
          <w:rFonts w:cs="Arial"/>
        </w:rPr>
      </w:r>
      <w:r>
        <w:rPr>
          <w:rFonts w:cs="Arial"/>
        </w:rPr>
      </w:r>
    </w:p>
    <w:p>
      <w:pPr>
        <w:pStyle w:val="1066"/>
        <w:pBdr/>
        <w:spacing/>
        <w:ind/>
        <w:rPr/>
      </w:pPr>
      <w:r/>
      <w:bookmarkStart w:id="22" w:name="_Toc200920521"/>
      <w:r>
        <w:t xml:space="preserve"> </w:t>
      </w:r>
      <w:r>
        <w:t xml:space="preserve">POPIS KONSTRUKČNÍCH SKLADEB</w:t>
      </w:r>
      <w:bookmarkEnd w:id="22"/>
      <w:r/>
      <w:r/>
    </w:p>
    <w:p>
      <w:pPr>
        <w:pStyle w:val="1069"/>
        <w:pBdr/>
        <w:spacing w:line="276" w:lineRule="auto"/>
        <w:ind/>
        <w:rPr/>
      </w:pPr>
      <w:r>
        <w:t xml:space="preserve">Skladba 1 – nová stěna kalolisovny</w:t>
      </w:r>
      <w:r/>
    </w:p>
    <w:p>
      <w:pPr>
        <w:pStyle w:val="1065"/>
        <w:numPr>
          <w:ilvl w:val="0"/>
          <w:numId w:val="47"/>
        </w:numPr>
        <w:pBdr/>
        <w:spacing w:line="276" w:lineRule="auto"/>
        <w:ind/>
        <w:rPr/>
      </w:pPr>
      <w:r>
        <w:t xml:space="preserve">2x akrylátový nátěr – omítka</w:t>
      </w:r>
      <w:r/>
    </w:p>
    <w:p>
      <w:pPr>
        <w:pStyle w:val="1065"/>
        <w:numPr>
          <w:ilvl w:val="0"/>
          <w:numId w:val="47"/>
        </w:numPr>
        <w:pBdr/>
        <w:spacing w:line="276" w:lineRule="auto"/>
        <w:ind/>
        <w:rPr/>
      </w:pPr>
      <w:r>
        <w:rPr>
          <w:highlight w:val="none"/>
        </w:rPr>
        <w:t xml:space="preserve">Penetrační nátěr akrylátový</w:t>
      </w:r>
      <w:r/>
    </w:p>
    <w:p>
      <w:pPr>
        <w:pStyle w:val="1065"/>
        <w:numPr>
          <w:ilvl w:val="0"/>
          <w:numId w:val="47"/>
        </w:numPr>
        <w:pBdr/>
        <w:spacing w:line="276" w:lineRule="auto"/>
        <w:ind/>
        <w:rPr/>
      </w:pPr>
      <w:r>
        <w:rPr>
          <w:highlight w:val="none"/>
        </w:rPr>
        <w:t xml:space="preserve">Štuková omítka vápenocementová</w:t>
      </w:r>
      <w:r/>
    </w:p>
    <w:p>
      <w:pPr>
        <w:pStyle w:val="1065"/>
        <w:numPr>
          <w:ilvl w:val="0"/>
          <w:numId w:val="47"/>
        </w:numPr>
        <w:pBdr/>
        <w:spacing w:line="276" w:lineRule="auto"/>
        <w:ind/>
        <w:rPr/>
      </w:pPr>
      <w:r>
        <w:rPr>
          <w:highlight w:val="none"/>
        </w:rPr>
        <w:t xml:space="preserve">Zdivo Porotherm tl.300mm</w:t>
      </w:r>
      <w:r/>
    </w:p>
    <w:p>
      <w:pPr>
        <w:pStyle w:val="1065"/>
        <w:numPr>
          <w:ilvl w:val="0"/>
          <w:numId w:val="47"/>
        </w:numPr>
        <w:pBdr/>
        <w:spacing w:line="276" w:lineRule="auto"/>
        <w:ind/>
        <w:rPr/>
      </w:pPr>
      <w:r>
        <w:rPr>
          <w:highlight w:val="none"/>
        </w:rPr>
      </w:r>
      <w:r>
        <w:rPr>
          <w:highlight w:val="none"/>
        </w:rPr>
        <w:t xml:space="preserve">Vnitřní omítka štuková vápenocementová</w:t>
      </w:r>
      <w:r/>
    </w:p>
    <w:p>
      <w:pPr>
        <w:pStyle w:val="1065"/>
        <w:numPr>
          <w:ilvl w:val="0"/>
          <w:numId w:val="47"/>
        </w:numPr>
        <w:pBdr/>
        <w:spacing w:line="276" w:lineRule="auto"/>
        <w:ind/>
        <w:rPr/>
      </w:pPr>
      <w:r>
        <w:rPr>
          <w:highlight w:val="none"/>
        </w:rPr>
        <w:t xml:space="preserve">Vodovzdorný nátěr omyvatelný</w:t>
      </w:r>
      <w:r>
        <w:rPr>
          <w:highlight w:val="none"/>
        </w:rPr>
      </w:r>
      <w:r/>
    </w:p>
    <w:p>
      <w:pPr>
        <w:pStyle w:val="1069"/>
        <w:pBdr/>
        <w:spacing w:line="276" w:lineRule="auto"/>
        <w:ind/>
        <w:rPr/>
      </w:pPr>
      <w:r>
        <w:t xml:space="preserve">Skladba 2 – podlaha kalolisovny</w:t>
      </w:r>
      <w:r/>
    </w:p>
    <w:p>
      <w:pPr>
        <w:pStyle w:val="1065"/>
        <w:numPr>
          <w:ilvl w:val="0"/>
          <w:numId w:val="65"/>
        </w:numPr>
        <w:pBdr/>
        <w:spacing w:line="276" w:lineRule="auto"/>
        <w:ind/>
        <w:rPr/>
      </w:pPr>
      <w:r>
        <w:t xml:space="preserve">2x akrylátový nátěr – podlaha</w:t>
      </w:r>
      <w:r/>
    </w:p>
    <w:p>
      <w:pPr>
        <w:pStyle w:val="1065"/>
        <w:numPr>
          <w:ilvl w:val="0"/>
          <w:numId w:val="65"/>
        </w:numPr>
        <w:pBdr/>
        <w:spacing w:line="276" w:lineRule="auto"/>
        <w:ind/>
        <w:rPr/>
      </w:pPr>
      <w:r>
        <w:rPr>
          <w:highlight w:val="none"/>
        </w:rPr>
        <w:t xml:space="preserve">Vyčištěná podlaha B20 – tl. 100mm</w:t>
      </w:r>
      <w:r/>
    </w:p>
    <w:p>
      <w:pPr>
        <w:pStyle w:val="1065"/>
        <w:numPr>
          <w:ilvl w:val="0"/>
          <w:numId w:val="65"/>
        </w:numPr>
        <w:pBdr/>
        <w:spacing w:line="276" w:lineRule="auto"/>
        <w:ind/>
        <w:rPr/>
      </w:pPr>
      <w:r>
        <w:rPr>
          <w:highlight w:val="none"/>
        </w:rPr>
        <w:t xml:space="preserve">Penetrační nátěr + 2x IPA</w:t>
      </w:r>
      <w:r/>
    </w:p>
    <w:p>
      <w:pPr>
        <w:pStyle w:val="1065"/>
        <w:numPr>
          <w:ilvl w:val="0"/>
          <w:numId w:val="65"/>
        </w:numPr>
        <w:pBdr/>
        <w:spacing w:line="276" w:lineRule="auto"/>
        <w:ind/>
        <w:rPr/>
      </w:pPr>
      <w:r>
        <w:rPr>
          <w:highlight w:val="none"/>
        </w:rPr>
        <w:t xml:space="preserve">ŽB deska tl. 150mm</w:t>
      </w:r>
      <w:r/>
    </w:p>
    <w:p>
      <w:pPr>
        <w:pStyle w:val="1065"/>
        <w:numPr>
          <w:ilvl w:val="0"/>
          <w:numId w:val="65"/>
        </w:numPr>
        <w:pBdr/>
        <w:spacing w:line="276" w:lineRule="auto"/>
        <w:ind/>
        <w:rPr/>
      </w:pPr>
      <w:r>
        <w:rPr>
          <w:highlight w:val="none"/>
        </w:rPr>
        <w:t xml:space="preserve">štěrkodr</w:t>
      </w:r>
      <w:r>
        <w:rPr>
          <w:highlight w:val="none"/>
        </w:rPr>
        <w:t xml:space="preserve">ť 0-36mm tl. 200mm</w:t>
      </w:r>
      <w:r/>
    </w:p>
    <w:p>
      <w:pPr>
        <w:pStyle w:val="1069"/>
        <w:pBdr/>
        <w:spacing w:line="276" w:lineRule="auto"/>
        <w:ind/>
        <w:rPr/>
      </w:pPr>
      <w:r>
        <w:t xml:space="preserve">Skladba 3 – střešní konstrukce objektu</w:t>
      </w:r>
      <w:r/>
    </w:p>
    <w:p>
      <w:pPr>
        <w:pStyle w:val="1065"/>
        <w:numPr>
          <w:ilvl w:val="0"/>
          <w:numId w:val="67"/>
        </w:numPr>
        <w:pBdr/>
        <w:spacing w:line="276" w:lineRule="auto"/>
        <w:ind/>
        <w:rPr/>
      </w:pPr>
      <w:r>
        <w:t xml:space="preserve">Střešní krytina – betonová taška, máčená, červená</w:t>
      </w:r>
      <w:r/>
    </w:p>
    <w:p>
      <w:pPr>
        <w:pStyle w:val="1065"/>
        <w:numPr>
          <w:ilvl w:val="0"/>
          <w:numId w:val="67"/>
        </w:numPr>
        <w:pBdr/>
        <w:spacing w:line="276" w:lineRule="auto"/>
        <w:ind/>
        <w:rPr/>
      </w:pPr>
      <w:r>
        <w:rPr>
          <w:highlight w:val="none"/>
        </w:rPr>
        <w:t xml:space="preserve">la</w:t>
      </w:r>
      <w:r>
        <w:rPr>
          <w:highlight w:val="none"/>
        </w:rPr>
        <w:t xml:space="preserve">ť 40x60 mm</w:t>
      </w:r>
      <w:r/>
    </w:p>
    <w:p>
      <w:pPr>
        <w:pStyle w:val="1065"/>
        <w:numPr>
          <w:ilvl w:val="0"/>
          <w:numId w:val="67"/>
        </w:numPr>
        <w:pBdr/>
        <w:spacing w:line="276" w:lineRule="auto"/>
        <w:ind/>
        <w:rPr/>
      </w:pPr>
      <w:r>
        <w:rPr>
          <w:highlight w:val="none"/>
        </w:rPr>
        <w:t xml:space="preserve">Krokev 100x140 mm</w:t>
      </w:r>
      <w:r/>
    </w:p>
    <w:p>
      <w:pPr>
        <w:pStyle w:val="1069"/>
        <w:pBdr/>
        <w:spacing w:line="276" w:lineRule="auto"/>
        <w:ind/>
        <w:rPr/>
      </w:pPr>
      <w:r>
        <w:t xml:space="preserve">Skladba 4 – podlaha dřevěného přístřešku</w:t>
      </w:r>
      <w:r/>
    </w:p>
    <w:p>
      <w:pPr>
        <w:pStyle w:val="1065"/>
        <w:numPr>
          <w:ilvl w:val="0"/>
          <w:numId w:val="69"/>
        </w:numPr>
        <w:pBdr/>
        <w:spacing w:line="276" w:lineRule="auto"/>
        <w:ind/>
        <w:rPr/>
      </w:pPr>
      <w:r>
        <w:t xml:space="preserve">Vodovzdorný nátěr omyvatelný – podlaha</w:t>
      </w:r>
      <w:r/>
    </w:p>
    <w:p>
      <w:pPr>
        <w:pStyle w:val="1065"/>
        <w:numPr>
          <w:ilvl w:val="0"/>
          <w:numId w:val="69"/>
        </w:numPr>
        <w:pBdr/>
        <w:spacing w:line="276" w:lineRule="auto"/>
        <w:ind/>
        <w:rPr/>
      </w:pPr>
      <w:r>
        <w:rPr>
          <w:highlight w:val="none"/>
        </w:rPr>
        <w:t xml:space="preserve">Vyčištěná podlaha B20 – tl. 100 - 150mm</w:t>
      </w:r>
      <w:r/>
    </w:p>
    <w:p>
      <w:pPr>
        <w:pStyle w:val="1065"/>
        <w:numPr>
          <w:ilvl w:val="0"/>
          <w:numId w:val="69"/>
        </w:numPr>
        <w:pBdr/>
        <w:spacing w:line="276" w:lineRule="auto"/>
        <w:ind/>
        <w:rPr/>
      </w:pPr>
      <w:r>
        <w:rPr>
          <w:highlight w:val="none"/>
        </w:rPr>
        <w:t xml:space="preserve">ŽB deska tl. 150mm</w:t>
      </w:r>
      <w:r/>
    </w:p>
    <w:p>
      <w:pPr>
        <w:pStyle w:val="1065"/>
        <w:numPr>
          <w:ilvl w:val="0"/>
          <w:numId w:val="69"/>
        </w:numPr>
        <w:pBdr/>
        <w:spacing w:line="276" w:lineRule="auto"/>
        <w:ind/>
        <w:rPr/>
      </w:pPr>
      <w:r>
        <w:rPr>
          <w:highlight w:val="none"/>
        </w:rPr>
        <w:t xml:space="preserve">štěrkodr</w:t>
      </w:r>
      <w:r>
        <w:rPr>
          <w:highlight w:val="none"/>
        </w:rPr>
        <w:t xml:space="preserve">ť 0-36mm tl. 200mm</w:t>
      </w:r>
      <w:r>
        <w:rPr>
          <w:highlight w:val="none"/>
        </w:rPr>
      </w:r>
      <w:r/>
    </w:p>
    <w:p>
      <w:pPr>
        <w:pStyle w:val="1068"/>
        <w:pBdr/>
        <w:spacing w:line="276" w:lineRule="auto"/>
        <w:ind/>
        <w:rPr/>
      </w:pPr>
      <w:r/>
      <w:bookmarkStart w:id="23" w:name="_Toc200920522"/>
      <w:r>
        <w:t xml:space="preserve">zastřešení OBJEKTU</w:t>
      </w:r>
      <w:bookmarkEnd w:id="23"/>
      <w:r/>
      <w:r/>
    </w:p>
    <w:p>
      <w:pPr>
        <w:pStyle w:val="1065"/>
        <w:pBdr/>
        <w:spacing w:line="276" w:lineRule="auto"/>
        <w:ind w:firstLine="360"/>
        <w:rPr>
          <w:highlight w:val="none"/>
        </w:rPr>
      </w:pPr>
      <w:r>
        <w:t xml:space="preserve">Z</w:t>
      </w:r>
      <w:r>
        <w:t xml:space="preserve">astřešení objek</w:t>
      </w:r>
      <w:r>
        <w:t xml:space="preserve">tu kalolisovny je řešeno dřevěným krovem se sedlovou sřechou se sklonem 40st. Zastřešení bude provedeno z průmyslových dřevěných sbíjených vazníků osazených po cca 1m. Jejich stabilita bude zajištěna zavětrováním prkny v rovině střechy, příp.ve svislé rovi</w:t>
      </w:r>
      <w:r>
        <w:t xml:space="preserve">ně mezi středními sloupky dřevěných příhradových vazníků. Rovina spodních pásů bude rovněž zavětrována tak, aby roznášela vodorovné zatížení ze stěn. Dřevo bude použito C22, Ocel S235. Spoje budou tesařské a pozinkované ocelové destičky. Vrcholová vaznice </w:t>
      </w:r>
      <w:r>
        <w:rPr>
          <w:highlight w:val="none"/>
        </w:rPr>
        <w:t xml:space="preserve">100x140mm má ztužující funkci a je osazená na sloupky 100x100mm na středu kratší části vaznicového věnce. Sbíjené vaz</w:t>
      </w:r>
      <w:r>
        <w:rPr>
          <w:highlight w:val="none"/>
        </w:rPr>
        <w:t xml:space="preserve">níky nebo krokve budou 100x140 mm, krokve max po 1m, krokve budou staženy kleštinami 2x 50/140mm v úrovni nad vaznicovým věncem. Krov musí být zavětrován minimálně v obou střešních rovinách. Rohové sloupky dřevěného přístřešku budou osazeny na zabetonované</w:t>
      </w:r>
      <w:r>
        <w:rPr>
          <w:highlight w:val="none"/>
        </w:rPr>
        <w:t xml:space="preserve"> ocelové patice. Pozednice budou kotveny do předem osazených závitových tyčí M14. Krokve budou kotveny do obvodové zdi  a věnce pomocí závitových tyčí M20 a lepených kotev HILTI. Kleštiny budou spojeny s krokvemi pomocí závitových tyčí M20. Tesařské spoje </w:t>
      </w:r>
      <w:r>
        <w:rPr>
          <w:highlight w:val="none"/>
        </w:rPr>
        <w:t xml:space="preserve">budou provedeny tradičním způsobem. Krokve v přesazích budou přiznané, nad krokvemi bude natlučen z vrchu prkenný záklop. </w:t>
      </w:r>
      <w:r>
        <w:t xml:space="preserve">Budou</w:t>
      </w:r>
      <w:r>
        <w:t xml:space="preserve"> použity všechny</w:t>
      </w:r>
      <w:r>
        <w:t xml:space="preserve"> střešní prvky od výrobce tašek</w:t>
      </w:r>
      <w:r>
        <w:t xml:space="preserve">, </w:t>
      </w:r>
      <w:r>
        <w:t xml:space="preserve">jako jsou hř</w:t>
      </w:r>
      <w:r>
        <w:t xml:space="preserve">e</w:t>
      </w:r>
      <w:r>
        <w:t xml:space="preserve">benové tašk</w:t>
      </w:r>
      <w:r>
        <w:t xml:space="preserve">y, koncové tašky, prostupové tašky a odvětrávací nástavce</w:t>
      </w:r>
      <w: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65"/>
        <w:pBdr/>
        <w:spacing w:line="276" w:lineRule="auto"/>
        <w:ind/>
        <w:rPr/>
      </w:pPr>
      <w:r>
        <w:tab/>
        <w:t xml:space="preserve">Pře</w:t>
      </w:r>
      <w:r>
        <w:t xml:space="preserve">čnívající konce krokví musí být ohoblovány! </w:t>
      </w:r>
      <w:r>
        <w:t xml:space="preserve">Konce krokví </w:t>
      </w:r>
      <w:r>
        <w:t xml:space="preserve">budou</w:t>
      </w:r>
      <w:r>
        <w:t xml:space="preserve"> opatřeny nárožním pr</w:t>
      </w:r>
      <w:r>
        <w:t xml:space="preserve">k</w:t>
      </w:r>
      <w:r>
        <w:t xml:space="preserve">nem. </w:t>
      </w:r>
      <w:r>
        <w:t xml:space="preserve">Všechny dřevěné konstrukce </w:t>
      </w:r>
      <w:r>
        <w:t xml:space="preserve">budou</w:t>
      </w:r>
      <w:r>
        <w:t xml:space="preserve"> natřeny protiplísňovým </w:t>
      </w:r>
      <w:r>
        <w:t xml:space="preserve">fungicidním nátěrem. </w:t>
      </w:r>
      <w:r>
        <w:t xml:space="preserve">Poh</w:t>
      </w:r>
      <w:r>
        <w:t xml:space="preserve">ledové části </w:t>
      </w:r>
      <w:r>
        <w:t xml:space="preserve">budou</w:t>
      </w:r>
      <w:r>
        <w:t xml:space="preserve"> natřeny</w:t>
      </w:r>
      <w:r>
        <w:t xml:space="preserve"> 3 x l</w:t>
      </w:r>
      <w:r>
        <w:t xml:space="preserve">azurovacím lakem. </w:t>
      </w:r>
      <w:r>
        <w:t xml:space="preserve">Odstín laku </w:t>
      </w:r>
      <w:r>
        <w:t xml:space="preserve">bude </w:t>
      </w:r>
      <w:r>
        <w:t xml:space="preserve">určen investorem. Výkres krovu bude řešen v rámci dílenské dokumentace!!</w:t>
      </w:r>
      <w:r/>
    </w:p>
    <w:p>
      <w:pPr>
        <w:pStyle w:val="1068"/>
        <w:pBdr/>
        <w:spacing w:line="276" w:lineRule="auto"/>
        <w:ind/>
        <w:rPr/>
      </w:pPr>
      <w:r/>
      <w:bookmarkStart w:id="24" w:name="_Toc200920523"/>
      <w:r>
        <w:t xml:space="preserve">Výplně otvorů</w:t>
      </w:r>
      <w:r>
        <w:t xml:space="preserve"> </w:t>
      </w:r>
      <w:bookmarkEnd w:id="24"/>
      <w:r/>
      <w:r/>
    </w:p>
    <w:p>
      <w:pPr>
        <w:pStyle w:val="1069"/>
        <w:pBdr/>
        <w:spacing w:line="276" w:lineRule="auto"/>
        <w:ind/>
        <w:rPr/>
      </w:pPr>
      <w:r>
        <w:t xml:space="preserve">Dveře</w:t>
      </w:r>
      <w:r/>
    </w:p>
    <w:p>
      <w:pPr>
        <w:pStyle w:val="1065"/>
        <w:pBdr/>
        <w:tabs>
          <w:tab w:val="clear" w:leader="none" w:pos="567"/>
        </w:tabs>
        <w:spacing w:line="276" w:lineRule="auto"/>
        <w:ind w:left="360"/>
        <w:jc w:val="left"/>
        <w:rPr/>
      </w:pPr>
      <w:r>
        <w:rPr>
          <w:b/>
        </w:rPr>
        <w:t xml:space="preserve">Vst</w:t>
      </w:r>
      <w:r>
        <w:rPr>
          <w:b/>
        </w:rPr>
        <w:t xml:space="preserve">upní dveře:</w:t>
      </w:r>
      <w:r/>
    </w:p>
    <w:p>
      <w:pPr>
        <w:pStyle w:val="1065"/>
        <w:pBdr/>
        <w:tabs>
          <w:tab w:val="clear" w:leader="none" w:pos="567"/>
        </w:tabs>
        <w:spacing w:line="276" w:lineRule="auto"/>
        <w:ind/>
        <w:jc w:val="both"/>
        <w:rPr/>
      </w:pPr>
      <w:r>
        <w:rPr>
          <w:highlight w:val="none"/>
        </w:rPr>
      </w:r>
      <w:r>
        <w:rPr>
          <w:highlight w:val="none"/>
        </w:rPr>
        <w:t xml:space="preserve">Do objektu kalolisovny</w:t>
      </w:r>
      <w:r>
        <w:rPr>
          <w:highlight w:val="none"/>
        </w:rPr>
        <w:t xml:space="preserve"> budou osazeny nové vstupní plastové dveře. Dveře budou bezpečnostní, jednokřídlé, bílé, otevírané dovnitř. Rám dveří bude ukotven v drážce ve zdivu. Rám bude ukotven do turbošroubů. Rozměr nutno doměřit na místě!! Nad vstupními dveřmi bude řešen překlad. </w:t>
      </w:r>
      <w:r>
        <w:rPr>
          <w:highlight w:val="none"/>
        </w:rPr>
      </w:r>
      <w:r/>
    </w:p>
    <w:p>
      <w:pPr>
        <w:pStyle w:val="1065"/>
        <w:pBdr/>
        <w:tabs>
          <w:tab w:val="clear" w:leader="none" w:pos="567"/>
        </w:tabs>
        <w:spacing w:line="276" w:lineRule="auto"/>
        <w:ind/>
        <w:jc w:val="left"/>
        <w:rPr/>
      </w:pPr>
      <w:r/>
      <w:r/>
    </w:p>
    <w:p>
      <w:pPr>
        <w:pStyle w:val="1065"/>
        <w:pBdr/>
        <w:tabs>
          <w:tab w:val="clear" w:leader="none" w:pos="567"/>
        </w:tabs>
        <w:spacing w:line="276" w:lineRule="auto"/>
        <w:ind w:firstLine="426"/>
        <w:jc w:val="left"/>
        <w:rPr>
          <w:b/>
        </w:rPr>
      </w:pPr>
      <w:r>
        <w:rPr>
          <w:b/>
        </w:rPr>
        <w:t xml:space="preserve">Specifikace dveří:</w:t>
      </w:r>
      <w:r>
        <w:rPr>
          <w:b/>
        </w:rPr>
      </w:r>
      <w:r>
        <w:rPr>
          <w:b/>
        </w:rPr>
      </w:r>
    </w:p>
    <w:p>
      <w:pPr>
        <w:pStyle w:val="1065"/>
        <w:pBdr/>
        <w:tabs>
          <w:tab w:val="clear" w:leader="none" w:pos="567"/>
        </w:tabs>
        <w:spacing w:line="276" w:lineRule="auto"/>
        <w:ind w:firstLine="567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barva rámu:  bílá</w:t>
      </w:r>
      <w:r>
        <w:rPr>
          <w:rFonts w:cs="Arial"/>
          <w:szCs w:val="22"/>
        </w:rPr>
      </w:r>
      <w:r>
        <w:rPr>
          <w:rFonts w:cs="Arial"/>
          <w:szCs w:val="22"/>
        </w:rPr>
      </w:r>
    </w:p>
    <w:p>
      <w:pPr>
        <w:pStyle w:val="1065"/>
        <w:pBdr/>
        <w:tabs>
          <w:tab w:val="clear" w:leader="none" w:pos="567"/>
        </w:tabs>
        <w:spacing w:line="276" w:lineRule="auto"/>
        <w:ind w:firstLine="567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barva křídla: bílá</w:t>
      </w:r>
      <w:r>
        <w:rPr>
          <w:rFonts w:cs="Arial"/>
          <w:szCs w:val="22"/>
        </w:rPr>
      </w:r>
      <w:r>
        <w:rPr>
          <w:rFonts w:cs="Arial"/>
          <w:szCs w:val="22"/>
        </w:rPr>
      </w:r>
    </w:p>
    <w:p>
      <w:pPr>
        <w:pStyle w:val="1065"/>
        <w:pBdr/>
        <w:tabs>
          <w:tab w:val="clear" w:leader="none" w:pos="567"/>
        </w:tabs>
        <w:spacing w:line="276" w:lineRule="auto"/>
        <w:ind w:firstLine="567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výplň: panel 24 mm bilý</w:t>
      </w:r>
      <w:r>
        <w:rPr>
          <w:rFonts w:cs="Arial"/>
          <w:szCs w:val="22"/>
        </w:rPr>
      </w:r>
      <w:r>
        <w:rPr>
          <w:rFonts w:cs="Arial"/>
          <w:szCs w:val="22"/>
        </w:rPr>
      </w:r>
    </w:p>
    <w:p>
      <w:pPr>
        <w:pStyle w:val="1065"/>
        <w:pBdr/>
        <w:tabs>
          <w:tab w:val="clear" w:leader="none" w:pos="567"/>
        </w:tabs>
        <w:spacing w:line="276" w:lineRule="auto"/>
        <w:ind w:firstLine="567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kování: 1 x VD M2 (2 klíny)</w:t>
      </w:r>
      <w:r>
        <w:rPr>
          <w:rFonts w:cs="Arial"/>
          <w:szCs w:val="22"/>
        </w:rPr>
      </w:r>
      <w:r>
        <w:rPr>
          <w:rFonts w:cs="Arial"/>
          <w:szCs w:val="22"/>
        </w:rPr>
      </w:r>
    </w:p>
    <w:p>
      <w:pPr>
        <w:pStyle w:val="1065"/>
        <w:pBdr/>
        <w:tabs>
          <w:tab w:val="clear" w:leader="none" w:pos="567"/>
        </w:tabs>
        <w:spacing w:line="276" w:lineRule="auto"/>
        <w:ind w:firstLine="567"/>
        <w:jc w:val="left"/>
        <w:rPr>
          <w:rFonts w:cs="Arial"/>
          <w:szCs w:val="22"/>
        </w:rPr>
      </w:pPr>
      <w:r>
        <w:rPr>
          <w:rFonts w:cs="Arial"/>
          <w:szCs w:val="22"/>
        </w:rPr>
        <w:t xml:space="preserve">práh</w:t>
      </w:r>
      <w:r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 xml:space="preserve">hliníkový s přerušovaným tepelným mostem</w:t>
      </w:r>
      <w:r>
        <w:rPr>
          <w:rFonts w:cs="Arial"/>
          <w:szCs w:val="22"/>
        </w:rPr>
      </w:r>
      <w:r>
        <w:rPr>
          <w:rFonts w:cs="Arial"/>
          <w:szCs w:val="22"/>
        </w:rPr>
      </w:r>
    </w:p>
    <w:p>
      <w:pPr>
        <w:pStyle w:val="1065"/>
        <w:pBdr/>
        <w:tabs>
          <w:tab w:val="clear" w:leader="none" w:pos="567"/>
        </w:tabs>
        <w:spacing w:line="276" w:lineRule="auto"/>
        <w:ind/>
        <w:jc w:val="left"/>
        <w:rPr/>
      </w:pPr>
      <w:r/>
      <w:r/>
    </w:p>
    <w:p>
      <w:pPr>
        <w:pStyle w:val="1069"/>
        <w:pBdr/>
        <w:spacing w:line="276" w:lineRule="auto"/>
        <w:ind/>
        <w:rPr/>
      </w:pPr>
      <w:r>
        <w:t xml:space="preserve">Okna</w:t>
      </w:r>
      <w:r/>
    </w:p>
    <w:p>
      <w:pPr>
        <w:pStyle w:val="1065"/>
        <w:pBdr/>
        <w:tabs>
          <w:tab w:val="clear" w:leader="none" w:pos="567"/>
        </w:tabs>
        <w:spacing w:line="276" w:lineRule="auto"/>
        <w:ind w:firstLine="567"/>
        <w:jc w:val="left"/>
        <w:rPr/>
      </w:pPr>
      <w:r>
        <w:t xml:space="preserve">V objektu kalolisovny budou dva okenní otvory. Okna plastová, zdvojená, budou o rozměrech 1200 x 1200 (900) mm. Na okenními otvory budou řešeny překlady. </w:t>
      </w:r>
      <w:r/>
    </w:p>
    <w:p>
      <w:pPr>
        <w:pStyle w:val="1065"/>
        <w:pBdr/>
        <w:tabs>
          <w:tab w:val="clear" w:leader="none" w:pos="567"/>
        </w:tabs>
        <w:spacing w:line="276" w:lineRule="auto"/>
        <w:ind/>
        <w:jc w:val="left"/>
        <w:rPr/>
      </w:pPr>
      <w:r/>
      <w:r/>
    </w:p>
    <w:p>
      <w:pPr>
        <w:pStyle w:val="1069"/>
        <w:pBdr/>
        <w:spacing w:line="276" w:lineRule="auto"/>
        <w:ind/>
        <w:rPr/>
      </w:pPr>
      <w:r>
        <w:t xml:space="preserve">Pororošty </w:t>
      </w:r>
      <w:r/>
    </w:p>
    <w:p>
      <w:pPr>
        <w:pStyle w:val="1065"/>
        <w:pBdr/>
        <w:spacing w:line="276" w:lineRule="auto"/>
        <w:ind w:firstLine="0" w:left="0"/>
        <w:rPr>
          <w:b/>
        </w:rPr>
      </w:pPr>
      <w:r>
        <w:rPr>
          <w:b/>
        </w:rPr>
        <w:t xml:space="preserve">Pororošt P1:</w:t>
      </w:r>
      <w:r>
        <w:rPr>
          <w:b/>
        </w:rPr>
      </w:r>
      <w:r>
        <w:rPr>
          <w:b/>
        </w:rPr>
      </w:r>
    </w:p>
    <w:p>
      <w:pPr>
        <w:pStyle w:val="1065"/>
        <w:pBdr/>
        <w:spacing w:line="276" w:lineRule="auto"/>
        <w:ind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  <w:tab/>
        <w:t xml:space="preserve">Pororošt P1 bude osa</w:t>
      </w:r>
      <w:r>
        <w:rPr>
          <w:b w:val="0"/>
          <w:bCs w:val="0"/>
          <w:highlight w:val="none"/>
        </w:rPr>
        <w:t xml:space="preserve">zen na odpadní jímce v prostorech kalolisovny. Jímka je o rozměrech 400x700mm. Jímka bude zakryta litým, jednodílným pororoštem P1 470x770 mm v kompozitu s oky 30 x 30/30mm. Pororošt bude osazen do rámu pro zabetonování r.d. = 2560mm, profil T 85x31x34mm. 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Style w:val="1065"/>
        <w:pBdr/>
        <w:spacing w:line="276" w:lineRule="auto"/>
        <w:ind/>
        <w:rPr>
          <w:b w:val="0"/>
          <w:bCs w:val="0"/>
        </w:rPr>
      </w:pPr>
      <w:r>
        <w:rPr>
          <w:b w:val="0"/>
          <w:bCs w:val="0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1065"/>
        <w:pBdr/>
        <w:spacing w:line="276" w:lineRule="auto"/>
        <w:ind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  <w:t xml:space="preserve">Pororošt P2: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65"/>
        <w:pBdr/>
        <w:spacing w:line="276" w:lineRule="auto"/>
        <w:ind/>
        <w:rPr>
          <w:b w:val="0"/>
          <w:bCs w:val="0"/>
          <w:highlight w:val="none"/>
        </w:rPr>
      </w:pPr>
      <w:r>
        <w:rPr>
          <w:b w:val="0"/>
          <w:bCs w:val="0"/>
          <w:highlight w:val="none"/>
        </w:rPr>
        <w:tab/>
        <w:t xml:space="preserve">Pororošt P2 bude osa</w:t>
      </w:r>
      <w:r>
        <w:rPr>
          <w:b w:val="0"/>
          <w:bCs w:val="0"/>
          <w:highlight w:val="none"/>
        </w:rPr>
        <w:t xml:space="preserve">zen na jím</w:t>
      </w:r>
      <w:r>
        <w:rPr>
          <w:b w:val="0"/>
          <w:bCs w:val="0"/>
          <w:highlight w:val="none"/>
        </w:rPr>
        <w:t xml:space="preserve">ce na úkapy v prostorech dřevěného přístřešku. Jímka je o rozměrech 400x600mm. Jímka bude zakryta litým, jednodílným pororoštem P2 470x670 mm v kompozitu s oky 30 x 30/30mm. Pororošt bude osazen do rámu pro zabetonování r.d. = 2360mm, profil T 85x31x34mm. 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Style w:val="1068"/>
        <w:pBdr/>
        <w:spacing w:line="276" w:lineRule="auto"/>
        <w:ind/>
        <w:rPr/>
      </w:pPr>
      <w:r/>
      <w:bookmarkStart w:id="25" w:name="_Toc200920524"/>
      <w:r>
        <w:t xml:space="preserve">Odvětrání</w:t>
      </w:r>
      <w:r>
        <w:t xml:space="preserve"> kalolisovny</w:t>
      </w:r>
      <w:bookmarkEnd w:id="25"/>
      <w:r/>
      <w:r/>
    </w:p>
    <w:p>
      <w:pPr>
        <w:pStyle w:val="1065"/>
        <w:pBdr/>
        <w:spacing w:line="276" w:lineRule="auto"/>
        <w:ind/>
        <w:rPr>
          <w:highlight w:val="none"/>
        </w:rPr>
      </w:pPr>
      <w:r>
        <w:tab/>
        <w:t xml:space="preserve">Odvětrání prostoru kalolisovny je řešeno tímto způsobem:</w:t>
      </w:r>
      <w:r>
        <w:rPr>
          <w:highlight w:val="none"/>
        </w:rPr>
      </w:r>
      <w:r>
        <w:rPr>
          <w:highlight w:val="none"/>
        </w:rPr>
      </w:r>
    </w:p>
    <w:p>
      <w:pPr>
        <w:pStyle w:val="1065"/>
        <w:numPr>
          <w:ilvl w:val="0"/>
          <w:numId w:val="50"/>
        </w:numPr>
        <w:pBdr/>
        <w:spacing w:line="276" w:lineRule="auto"/>
        <w:ind/>
        <w:rPr/>
      </w:pPr>
      <w:r>
        <w:rPr>
          <w:highlight w:val="none"/>
        </w:rPr>
        <w:t xml:space="preserve">Do prostoru kalolisovny je přiváděn vzduch skrz prostupem ve stěně. Otvor ve stěně je opatřen zvukovým ochranným krytem a z vnější strany je osazen nerezovou protideš</w:t>
      </w:r>
      <w:r>
        <w:rPr>
          <w:highlight w:val="none"/>
        </w:rPr>
        <w:t xml:space="preserve">ťovou žaluzií. </w:t>
      </w:r>
      <w:r/>
    </w:p>
    <w:p>
      <w:pPr>
        <w:pStyle w:val="1065"/>
        <w:numPr>
          <w:ilvl w:val="0"/>
          <w:numId w:val="50"/>
        </w:numPr>
        <w:pBdr/>
        <w:spacing w:line="276" w:lineRule="auto"/>
        <w:ind/>
        <w:rPr/>
      </w:pPr>
      <w:r>
        <w:rPr>
          <w:highlight w:val="none"/>
        </w:rPr>
        <w:t xml:space="preserve">Odvod ohřátého vzduchu z prostoru kalolisovny bude zajištěna navrženým axiálním ventilátorem. Vzduch bude odváděn do venkovního prostoru. Prostup je opatřen zvukovým ochranným krytem. </w:t>
      </w:r>
      <w:r>
        <w:rPr>
          <w:highlight w:val="none"/>
        </w:rPr>
        <w:t xml:space="preserve">Chod ventilátoru bude ovládán teplotním čidle či ručně. </w:t>
      </w:r>
      <w:r>
        <w:rPr>
          <w:highlight w:val="none"/>
        </w:rPr>
      </w:r>
      <w:r/>
    </w:p>
    <w:p>
      <w:pPr>
        <w:pStyle w:val="1065"/>
        <w:pBdr/>
        <w:spacing w:line="276" w:lineRule="auto"/>
        <w:ind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Pro účinnou výměnu vzduchu v celém prostoru kalolisovny byl navržen systém přirozeného větrání na základě rozdílů teplot vzduchu venkovníh</w:t>
      </w:r>
      <w:r>
        <w:rPr>
          <w:highlight w:val="none"/>
        </w:rPr>
        <w:t xml:space="preserve">o a vnitřního prostředí. V zimním období se bude nasávat do přízemí studený vzduch a ohřátý bude stoupat až k odvodu vzduchu do venkovního prostoru. V létě pak bude fungovat přirozená ventilace pouze na základě rozdílů teplot neosluněné a osluněné fasády. </w:t>
      </w:r>
      <w:r>
        <w:rPr>
          <w:highlight w:val="none"/>
        </w:rPr>
      </w:r>
      <w:r>
        <w:rPr>
          <w:highlight w:val="none"/>
        </w:rPr>
      </w:r>
    </w:p>
    <w:p>
      <w:pPr>
        <w:pStyle w:val="1065"/>
        <w:pBdr/>
        <w:spacing w:line="276" w:lineRule="auto"/>
        <w:ind/>
        <w:rPr/>
      </w:pPr>
      <w:r>
        <w:rPr>
          <w:highlight w:val="none"/>
        </w:rPr>
        <w:t xml:space="preserve">Axiální ventilátor bude typu VKN-N-04-300 – pro ventilaci lisovny kalu, příkon 110 kW, elektrické napětí 230 V, 50 Hz. </w:t>
      </w:r>
      <w:r>
        <w:rPr>
          <w:highlight w:val="none"/>
        </w:rPr>
      </w:r>
      <w:r/>
    </w:p>
    <w:p>
      <w:pPr>
        <w:pStyle w:val="1067"/>
        <w:pBdr/>
        <w:spacing w:line="276" w:lineRule="auto"/>
        <w:ind/>
        <w:rPr/>
      </w:pPr>
      <w:r/>
      <w:bookmarkStart w:id="26" w:name="_Toc200920525"/>
      <w:r>
        <w:t xml:space="preserve">so 01.3 stavebně – konstrukční řešení</w:t>
      </w:r>
      <w:bookmarkEnd w:id="26"/>
      <w:r/>
      <w:r/>
    </w:p>
    <w:p>
      <w:pPr>
        <w:pStyle w:val="1065"/>
        <w:pBdr/>
        <w:spacing w:line="276" w:lineRule="auto"/>
        <w:ind/>
        <w:rPr/>
      </w:pPr>
      <w:r>
        <w:t xml:space="preserve">Stavebně konstrukční řešení je nedílnou součástí této dokumentace. </w:t>
      </w:r>
      <w:r/>
    </w:p>
    <w:p>
      <w:pPr>
        <w:pStyle w:val="1067"/>
        <w:pBdr/>
        <w:spacing w:line="276" w:lineRule="auto"/>
        <w:ind/>
        <w:rPr/>
      </w:pPr>
      <w:r/>
      <w:bookmarkStart w:id="27" w:name="_Toc200920526"/>
      <w:r>
        <w:t xml:space="preserve">SO 01.5 – ELEKTRO-STAVEBNÍ ČÁST</w:t>
      </w:r>
      <w:r>
        <w:t xml:space="preserve"> </w:t>
      </w:r>
      <w:bookmarkEnd w:id="27"/>
      <w:r/>
      <w:r/>
    </w:p>
    <w:p>
      <w:pPr>
        <w:pStyle w:val="1065"/>
        <w:pBdr/>
        <w:spacing w:line="276" w:lineRule="auto"/>
        <w:ind/>
        <w:rPr>
          <w:highlight w:val="none"/>
        </w:rPr>
      </w:pPr>
      <w:r>
        <w:tab/>
        <w:t xml:space="preserve">Elektro-stavební část objektu kalolisovny je řešena v příslušných přílohách této PD. Součástí elektro stavební části je návrh osvětlení a zásuvek v prostorech objektu. </w:t>
      </w:r>
      <w:r>
        <w:rPr>
          <w:highlight w:val="none"/>
        </w:rPr>
      </w:r>
      <w:r>
        <w:rPr>
          <w:highlight w:val="none"/>
        </w:rPr>
      </w:r>
    </w:p>
    <w:p>
      <w:pPr>
        <w:pStyle w:val="1065"/>
        <w:pBdr/>
        <w:spacing w:line="276" w:lineRule="auto"/>
        <w:ind/>
        <w:rPr/>
      </w:pPr>
      <w:r>
        <w:rPr>
          <w:highlight w:val="none"/>
        </w:rPr>
      </w:r>
      <w:r>
        <w:rPr>
          <w:highlight w:val="none"/>
        </w:rPr>
        <w:t xml:space="preserve">V rámci elektro – stavební části musí být řešen i hromosvod. Objekt kalolisovny je zařazen do třídy ochrany před bleskem L</w:t>
      </w:r>
      <w:r>
        <w:rPr>
          <w:highlight w:val="none"/>
        </w:rPr>
        <w:t xml:space="preserve">PL II. Poloměr valivé bleskové koule je 30m. Jímací vedení bude tvořeno vodičem AIMgSi 8mm – vedení bude doplněno o pomocné jímače 0,5. Všechny kovové části na střeše budou v ochranném prostoru jímacího prostoru jímacího vedení. Objekt bude opatřen 4 svody</w:t>
      </w:r>
      <w:r>
        <w:rPr>
          <w:highlight w:val="none"/>
        </w:rPr>
        <w:t xml:space="preserve">. Svod č. 1 bude veden vodičem v podpěrách po okapovém svodu až ke zkušební svorce umístěné cca 50cm nad úrovní terénu, od níž bude veden vodič v ochranné trubce. Uzemnění objektu bude tvořeno základovým zemničem. Zemní spoje budou ošetřeny proti korozi bu</w:t>
      </w:r>
      <w:r>
        <w:rPr>
          <w:highlight w:val="none"/>
        </w:rPr>
        <w:t xml:space="preserve">ď </w:t>
      </w:r>
      <w:r>
        <w:rPr>
          <w:highlight w:val="none"/>
        </w:rPr>
        <w:t xml:space="preserve">ochranným nátěrem nebo páskou Petrolat. Detailněji řešeno viz příslušná příloha této PD. </w:t>
      </w:r>
      <w:r>
        <w:rPr>
          <w:highlight w:val="none"/>
        </w:rPr>
      </w:r>
      <w:r/>
    </w:p>
    <w:p>
      <w:pPr>
        <w:pStyle w:val="1067"/>
        <w:pBdr/>
        <w:spacing w:line="276" w:lineRule="auto"/>
        <w:ind/>
        <w:rPr/>
      </w:pPr>
      <w:r/>
      <w:bookmarkStart w:id="28" w:name="_Toc200920527"/>
      <w:r>
        <w:t xml:space="preserve">PS 01 – STROJNĚ – TECHNOLOGICKÁ ČÁST</w:t>
      </w:r>
      <w:bookmarkEnd w:id="28"/>
      <w:r/>
      <w:r/>
    </w:p>
    <w:p>
      <w:pPr>
        <w:pStyle w:val="1065"/>
        <w:pBdr/>
        <w:spacing w:line="276" w:lineRule="auto"/>
        <w:ind/>
        <w:rPr/>
      </w:pPr>
      <w:r>
        <w:t xml:space="preserve">Strojně - technologická část objektu kalolisovny je řešena v příslušných přílohách této PD. </w:t>
      </w:r>
      <w:r/>
    </w:p>
    <w:p>
      <w:pPr>
        <w:pStyle w:val="1067"/>
        <w:pBdr/>
        <w:spacing w:line="276" w:lineRule="auto"/>
        <w:ind/>
        <w:rPr/>
      </w:pPr>
      <w:r/>
      <w:bookmarkStart w:id="29" w:name="_Toc200920528"/>
      <w:r>
        <w:t xml:space="preserve">PS 02 – ELEKTRO – TECHNOLOGICKÁ ČÁST</w:t>
      </w:r>
      <w:r>
        <w:t xml:space="preserve"> </w:t>
      </w:r>
      <w:bookmarkEnd w:id="29"/>
      <w:r/>
      <w:r/>
    </w:p>
    <w:p>
      <w:pPr>
        <w:pStyle w:val="1065"/>
        <w:pBdr/>
        <w:spacing w:line="276" w:lineRule="auto"/>
        <w:ind/>
        <w:rPr/>
      </w:pPr>
      <w:r>
        <w:t xml:space="preserve">Elektro - technologická část objektu kalolisovny je řešena v příslušných přílohách této PD. </w:t>
      </w:r>
      <w:r/>
    </w:p>
    <w:p>
      <w:pPr>
        <w:pStyle w:val="1066"/>
        <w:pBdr/>
        <w:spacing w:line="276" w:lineRule="auto"/>
        <w:ind/>
        <w:rPr/>
      </w:pPr>
      <w:r/>
      <w:bookmarkStart w:id="30" w:name="_Toc200920529"/>
      <w:r>
        <w:t xml:space="preserve">požadavky na postup stavebních a montážních prací</w:t>
      </w:r>
      <w:bookmarkEnd w:id="30"/>
      <w:r/>
      <w:r/>
    </w:p>
    <w:p>
      <w:pPr>
        <w:pStyle w:val="1065"/>
        <w:pBdr/>
        <w:spacing w:line="276" w:lineRule="auto"/>
        <w:ind/>
        <w:rPr/>
      </w:pPr>
      <w:r>
        <w:tab/>
        <w:t xml:space="preserve">Požadavky na postup stavebních a montážních prací respektují nařízení vlády</w:t>
      </w:r>
      <w:r/>
    </w:p>
    <w:p>
      <w:pPr>
        <w:pStyle w:val="1065"/>
        <w:pBdr/>
        <w:spacing w:line="276" w:lineRule="auto"/>
        <w:ind/>
        <w:rPr/>
      </w:pPr>
      <w:r>
        <w:t xml:space="preserve"> č. 591/2006 Sb., které nabylo účinnosti dne 1. ledna 2007, a které stanoví bližší minimální pož</w:t>
      </w:r>
      <w:r>
        <w:t xml:space="preserve">a</w:t>
      </w:r>
      <w:r>
        <w:t xml:space="preserve">davky na be</w:t>
      </w:r>
      <w:r>
        <w:t xml:space="preserve">z</w:t>
      </w:r>
      <w:r>
        <w:t xml:space="preserve">pečnost a ochranu zdraví při práci na staveništích, příloha č. 3.</w:t>
      </w:r>
      <w:r/>
    </w:p>
    <w:p>
      <w:pPr>
        <w:pStyle w:val="1065"/>
        <w:pBdr/>
        <w:spacing w:line="276" w:lineRule="auto"/>
        <w:ind/>
        <w:rPr/>
      </w:pPr>
      <w:r>
        <w:tab/>
        <w:t xml:space="preserve">Stavba nemá žádné speciální nároky na postup stavebních prací. Stavební práce budou prob</w:t>
      </w:r>
      <w:r>
        <w:t xml:space="preserve">í</w:t>
      </w:r>
      <w:r>
        <w:t xml:space="preserve">hat dle běžných zvyklostí, tzn. práce HSV, PSV a terénní úpravy.</w:t>
      </w:r>
      <w:r/>
    </w:p>
    <w:p>
      <w:pPr>
        <w:pStyle w:val="1065"/>
        <w:pBdr/>
        <w:spacing w:line="276" w:lineRule="auto"/>
        <w:ind/>
        <w:rPr/>
      </w:pPr>
      <w:r>
        <w:t xml:space="preserve">Pro provádění montážních prací bude zpracován technologický postup montáže s u</w:t>
      </w:r>
      <w:r>
        <w:t xml:space="preserve">r</w:t>
      </w:r>
      <w:r>
        <w:t xml:space="preserve">čením</w:t>
      </w:r>
      <w:r/>
    </w:p>
    <w:p>
      <w:pPr>
        <w:pStyle w:val="1065"/>
        <w:pBdr/>
        <w:spacing w:line="276" w:lineRule="auto"/>
        <w:ind/>
        <w:rPr/>
      </w:pPr>
      <w:r>
        <w:t xml:space="preserve">podmínek pro nasazení a pohyb mechanizačních prostředků, zabezpečení dotčených pracovišť a zajištění pracovníků proti pádu z výšky.</w:t>
      </w:r>
      <w:r/>
    </w:p>
    <w:p>
      <w:pPr>
        <w:pStyle w:val="1065"/>
        <w:pBdr/>
        <w:spacing w:line="276" w:lineRule="auto"/>
        <w:ind/>
        <w:rPr/>
      </w:pPr>
      <w:r>
        <w:rPr>
          <w:b/>
        </w:rPr>
        <w:t xml:space="preserve">Před zahájením stavby musí investor zajistit vytýčení všech podzemních investic, aby n</w:t>
      </w:r>
      <w:r>
        <w:rPr>
          <w:b/>
        </w:rPr>
        <w:t xml:space="preserve">e</w:t>
      </w:r>
      <w:r>
        <w:rPr>
          <w:b/>
        </w:rPr>
        <w:t xml:space="preserve">došlo k jejich poškození,</w:t>
      </w:r>
      <w:r>
        <w:t xml:space="preserve"> zejména energetických a komunikačních vedení, vodovodní sítě, v mí</w:t>
      </w:r>
      <w:r>
        <w:t xml:space="preserve">s</w:t>
      </w:r>
      <w:r>
        <w:t xml:space="preserve">tě jejich střetu se stavbou, popřípadě jiné podzemní a nadzemní překážky nacházející se na st</w:t>
      </w:r>
      <w:r>
        <w:t xml:space="preserve">a</w:t>
      </w:r>
      <w:r>
        <w:t xml:space="preserve">veništi.</w:t>
      </w:r>
      <w:r/>
    </w:p>
    <w:p>
      <w:pPr>
        <w:pStyle w:val="1065"/>
        <w:pBdr/>
        <w:spacing w:line="276" w:lineRule="auto"/>
        <w:ind w:firstLine="708"/>
        <w:rPr/>
      </w:pPr>
      <w:r>
        <w:t xml:space="preserve">Před zahájením zemních prací musí být určeno rozmístění stavebních výkopů a jam a j</w:t>
      </w:r>
      <w:r>
        <w:t xml:space="preserve">e</w:t>
      </w:r>
      <w:r>
        <w:t xml:space="preserve">jich rozměry a určeny způsoby těžení zeminy, zajištění stěn výkopů proti sesutí, zejména druh </w:t>
      </w:r>
      <w:r/>
    </w:p>
    <w:p>
      <w:pPr>
        <w:pStyle w:val="1104"/>
        <w:pBdr/>
        <w:spacing w:line="276" w:lineRule="auto"/>
        <w:ind w:firstLine="708"/>
        <w:rPr>
          <w:sz w:val="22"/>
        </w:rPr>
      </w:pPr>
      <w:r>
        <w:rPr>
          <w:sz w:val="22"/>
        </w:rPr>
        <w:t xml:space="preserve">Veškeré výkopové práce v ochranných pásmech stávajících rozvodů se musí provádět ru</w:t>
      </w:r>
      <w:r>
        <w:rPr>
          <w:sz w:val="22"/>
        </w:rPr>
        <w:t xml:space="preserve">č</w:t>
      </w:r>
      <w:r>
        <w:rPr>
          <w:sz w:val="22"/>
        </w:rPr>
        <w:t xml:space="preserve">ně. Před jejich odkrytím je nutné uvědomit správce, zajistit ochranu proti porušení a jiným vnějším účinkům a řídit se jeho podmínkami.</w:t>
      </w:r>
      <w:r>
        <w:rPr>
          <w:sz w:val="22"/>
        </w:rPr>
      </w:r>
      <w:r>
        <w:rPr>
          <w:sz w:val="22"/>
        </w:rPr>
      </w:r>
    </w:p>
    <w:p>
      <w:pPr>
        <w:pStyle w:val="1067"/>
        <w:pBdr/>
        <w:spacing w:line="276" w:lineRule="auto"/>
        <w:ind/>
        <w:rPr/>
      </w:pPr>
      <w:r/>
      <w:bookmarkStart w:id="31" w:name="_Toc200920530"/>
      <w:r>
        <w:t xml:space="preserve">POPIS PŘÍPRAVNÝCH, SOUVISEJÍCÍCH A DOKONČUJÍCÍCH PRACÍ</w:t>
      </w:r>
      <w:r>
        <w:t xml:space="preserve"> </w:t>
      </w:r>
      <w:bookmarkEnd w:id="31"/>
      <w:r/>
      <w:r/>
    </w:p>
    <w:p>
      <w:pPr>
        <w:pStyle w:val="1065"/>
        <w:numPr>
          <w:ilvl w:val="0"/>
          <w:numId w:val="18"/>
        </w:numPr>
        <w:pBdr/>
        <w:spacing w:line="276" w:lineRule="auto"/>
        <w:ind/>
        <w:rPr/>
      </w:pPr>
      <w:r>
        <w:rPr>
          <w:i/>
          <w:u w:val="single"/>
        </w:rPr>
        <w:t xml:space="preserve">Vybudování, provozování a zrušení nutného zařízení stavenišť</w:t>
      </w:r>
      <w:r>
        <w:t xml:space="preserve"> </w:t>
      </w:r>
      <w:r/>
    </w:p>
    <w:p>
      <w:pPr>
        <w:pStyle w:val="1106"/>
        <w:pBdr/>
        <w:spacing w:line="276" w:lineRule="auto"/>
        <w:ind/>
        <w:rPr>
          <w:highlight w:val="none"/>
        </w:rPr>
      </w:pPr>
      <w:r>
        <w:tab/>
        <w:t xml:space="preserve">Uchazeč se obeznámí se situací stavby ohledně přísunu materiálu, vzdáleností, odvozu v</w:t>
      </w:r>
      <w:r>
        <w:t xml:space="preserve">y</w:t>
      </w:r>
      <w:r>
        <w:t xml:space="preserve">bouraného m</w:t>
      </w:r>
      <w:r>
        <w:t xml:space="preserve">a</w:t>
      </w:r>
      <w:r>
        <w:t xml:space="preserve">teriálu atd.</w:t>
      </w:r>
      <w:r>
        <w:rPr>
          <w:highlight w:val="none"/>
        </w:rPr>
      </w:r>
      <w:r>
        <w:rPr>
          <w:highlight w:val="none"/>
        </w:rPr>
      </w:r>
    </w:p>
    <w:p>
      <w:pPr>
        <w:pStyle w:val="1106"/>
        <w:pBdr/>
        <w:spacing w:line="276" w:lineRule="auto"/>
        <w:ind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65"/>
        <w:numPr>
          <w:ilvl w:val="0"/>
          <w:numId w:val="18"/>
        </w:numPr>
        <w:pBdr/>
        <w:spacing w:line="276" w:lineRule="auto"/>
        <w:ind/>
        <w:jc w:val="left"/>
        <w:rPr/>
      </w:pPr>
      <w:r>
        <w:rPr>
          <w:i/>
          <w:u w:val="single"/>
        </w:rPr>
        <w:t xml:space="preserve">Lešení</w:t>
      </w:r>
      <w:r>
        <w:t xml:space="preserve"> </w:t>
      </w:r>
      <w:r/>
    </w:p>
    <w:p>
      <w:pPr>
        <w:pStyle w:val="1106"/>
        <w:pBdr/>
        <w:spacing w:line="276" w:lineRule="auto"/>
        <w:ind/>
        <w:rPr>
          <w:highlight w:val="none"/>
        </w:rPr>
      </w:pPr>
      <w:r>
        <w:tab/>
        <w:t xml:space="preserve">montáž a demontáž celoplošného lešení po celou dobu stavby včetně nezbytných doplňků, jeho nezbytné přestavby, posuny a úpravy - vše v rozsahu nutném pro provedení díla</w:t>
      </w:r>
      <w:r>
        <w:rPr>
          <w:highlight w:val="none"/>
        </w:rPr>
      </w:r>
      <w:r>
        <w:rPr>
          <w:highlight w:val="none"/>
        </w:rPr>
      </w:r>
    </w:p>
    <w:p>
      <w:pPr>
        <w:pStyle w:val="1106"/>
        <w:pBdr/>
        <w:spacing w:line="276" w:lineRule="auto"/>
        <w:ind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65"/>
        <w:numPr>
          <w:ilvl w:val="0"/>
          <w:numId w:val="18"/>
        </w:numPr>
        <w:pBdr/>
        <w:spacing w:line="276" w:lineRule="auto"/>
        <w:ind/>
        <w:jc w:val="left"/>
        <w:rPr>
          <w:i/>
          <w:u w:val="single"/>
        </w:rPr>
      </w:pPr>
      <w:r>
        <w:rPr>
          <w:i/>
          <w:u w:val="single"/>
        </w:rPr>
        <w:t xml:space="preserve">Odpad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pStyle w:val="1106"/>
        <w:pBdr/>
        <w:spacing w:line="276" w:lineRule="auto"/>
        <w:ind/>
        <w:rPr>
          <w:highlight w:val="none"/>
        </w:rPr>
      </w:pPr>
      <w:r>
        <w:tab/>
        <w:t xml:space="preserve">Odvoz a likvidace odpadu v souladu s platnou legislativou, zhotovitel předloží doklady o l</w:t>
      </w:r>
      <w:r>
        <w:t xml:space="preserve">i</w:t>
      </w:r>
      <w:r>
        <w:t xml:space="preserve">kvidaci odpadu</w:t>
      </w:r>
      <w:r>
        <w:rPr>
          <w:highlight w:val="none"/>
        </w:rPr>
      </w:r>
      <w:r>
        <w:rPr>
          <w:highlight w:val="none"/>
        </w:rPr>
      </w:r>
    </w:p>
    <w:p>
      <w:pPr>
        <w:pStyle w:val="1106"/>
        <w:pBdr/>
        <w:spacing w:line="276" w:lineRule="auto"/>
        <w:ind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65"/>
        <w:numPr>
          <w:ilvl w:val="0"/>
          <w:numId w:val="18"/>
        </w:numPr>
        <w:pBdr/>
        <w:spacing w:line="276" w:lineRule="auto"/>
        <w:ind/>
        <w:jc w:val="left"/>
        <w:rPr/>
      </w:pPr>
      <w:r>
        <w:rPr>
          <w:i/>
          <w:u w:val="single"/>
        </w:rPr>
        <w:t xml:space="preserve">Uvedení do původního stavu</w:t>
      </w:r>
      <w:r>
        <w:t xml:space="preserve"> </w:t>
      </w:r>
      <w:r/>
    </w:p>
    <w:p>
      <w:pPr>
        <w:pStyle w:val="1065"/>
        <w:pBdr/>
        <w:spacing w:line="276" w:lineRule="auto"/>
        <w:ind/>
        <w:jc w:val="left"/>
        <w:rPr>
          <w:highlight w:val="none"/>
        </w:rPr>
      </w:pPr>
      <w:r>
        <w:tab/>
        <w:t xml:space="preserve">Zhotovitel provede obslužné komunikace a přilehlé prostory do původního stavu, či dle návrhu terénních úprav dle PD. </w:t>
      </w:r>
      <w:r>
        <w:rPr>
          <w:highlight w:val="none"/>
        </w:rPr>
      </w:r>
      <w:r>
        <w:rPr>
          <w:highlight w:val="none"/>
        </w:rPr>
      </w:r>
    </w:p>
    <w:p>
      <w:pPr>
        <w:pStyle w:val="1065"/>
        <w:pBdr/>
        <w:spacing w:line="276" w:lineRule="auto"/>
        <w:ind/>
        <w:jc w:val="left"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65"/>
        <w:numPr>
          <w:ilvl w:val="0"/>
          <w:numId w:val="15"/>
        </w:numPr>
        <w:pBdr/>
        <w:spacing w:line="276" w:lineRule="auto"/>
        <w:ind/>
        <w:jc w:val="left"/>
        <w:rPr>
          <w:i/>
          <w:u w:val="single"/>
        </w:rPr>
      </w:pPr>
      <w:r>
        <w:rPr>
          <w:i/>
          <w:u w:val="single"/>
        </w:rPr>
        <w:t xml:space="preserve">Provizorní zásobování obyvatel během stavby</w:t>
      </w:r>
      <w:r>
        <w:rPr>
          <w:i/>
          <w:u w:val="single"/>
        </w:rPr>
      </w:r>
      <w:r>
        <w:rPr>
          <w:i/>
          <w:u w:val="single"/>
        </w:rPr>
      </w:r>
    </w:p>
    <w:p>
      <w:pPr>
        <w:pStyle w:val="1065"/>
        <w:pBdr/>
        <w:spacing w:line="276" w:lineRule="auto"/>
        <w:ind/>
        <w:rPr>
          <w:highlight w:val="none"/>
        </w:rPr>
      </w:pPr>
      <w:r>
        <w:tab/>
        <w:t xml:space="preserve">Netýká se. </w:t>
      </w:r>
      <w:r>
        <w:rPr>
          <w:highlight w:val="none"/>
        </w:rPr>
      </w:r>
      <w:r>
        <w:rPr>
          <w:highlight w:val="none"/>
        </w:rPr>
      </w:r>
    </w:p>
    <w:p>
      <w:pPr>
        <w:pStyle w:val="1065"/>
        <w:pBdr/>
        <w:spacing w:line="276" w:lineRule="auto"/>
        <w:ind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1065"/>
        <w:pBdr/>
        <w:spacing w:line="276" w:lineRule="auto"/>
        <w:ind/>
        <w:rPr/>
      </w:pPr>
      <w:r/>
      <w:r/>
    </w:p>
    <w:p>
      <w:pPr>
        <w:pStyle w:val="1065"/>
        <w:pBdr/>
        <w:spacing w:line="276" w:lineRule="auto"/>
        <w:ind/>
        <w:rPr/>
      </w:pPr>
      <w:r/>
      <w:r/>
    </w:p>
    <w:p>
      <w:pPr>
        <w:pStyle w:val="1065"/>
        <w:pBdr/>
        <w:spacing w:line="276" w:lineRule="auto"/>
        <w:ind/>
        <w:rPr/>
      </w:pPr>
      <w:r>
        <w:t xml:space="preserve">V Praze, červen 2025</w:t>
        <w:tab/>
        <w:tab/>
        <w:tab/>
        <w:tab/>
        <w:tab/>
        <w:tab/>
        <w:tab/>
        <w:tab/>
        <w:t xml:space="preserve">Vypracovala: Ing. Pittnerová</w:t>
      </w:r>
      <w:r/>
    </w:p>
    <w:sectPr>
      <w:headerReference w:type="default" r:id="rId9"/>
      <w:footerReference w:type="default" r:id="rId10"/>
      <w:footnotePr/>
      <w:endnotePr/>
      <w:type w:val="nextPage"/>
      <w:pgSz w:h="16840" w:orient="portrait" w:w="11907"/>
      <w:pgMar w:top="1701" w:right="1134" w:bottom="1701" w:left="1418" w:header="680" w:footer="96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10000000000000000"/>
  </w:font>
  <w:font w:name="Calibri Light">
    <w:panose1 w:val="020F0502020204030204"/>
  </w:font>
  <w:font w:name="SuperFrench">
    <w:panose1 w:val="05040102010807070707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9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  <w:spacing/>
      <w:ind/>
      <w:rPr>
        <w:rFonts w:cs="Arial"/>
        <w:i/>
        <w:sz w:val="20"/>
      </w:rPr>
    </w:pPr>
    <w:r>
      <w:rPr>
        <w:rFonts w:cs="Arial"/>
        <w:i/>
        <w:sz w:val="20"/>
      </w:rPr>
      <w:t xml:space="preserve">Vodohospodářské inženýrské služby a.s.</w:t>
      <w:tab/>
      <w:t xml:space="preserve">1</w:t>
      <w:tab/>
    </w:r>
    <w:r>
      <w:rPr>
        <w:rFonts w:cs="Arial"/>
        <w:i/>
        <w:sz w:val="20"/>
      </w:rPr>
      <w:t xml:space="preserve">červen</w:t>
    </w:r>
    <w:r>
      <w:rPr>
        <w:rFonts w:cs="Arial"/>
        <w:i/>
        <w:sz w:val="20"/>
      </w:rPr>
      <w:t xml:space="preserve">, 2025</w:t>
    </w:r>
    <w:r>
      <w:rPr>
        <w:rFonts w:cs="Arial"/>
        <w:i/>
        <w:sz w:val="20"/>
      </w:rPr>
    </w:r>
    <w:r>
      <w:rPr>
        <w:rFonts w:cs="Arial"/>
        <w:i/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8"/>
      <w:pBdr/>
      <w:spacing/>
      <w:ind/>
      <w:rPr>
        <w:i/>
      </w:rPr>
    </w:pPr>
    <w:r>
      <w:rPr>
        <w:i/>
      </w:rPr>
      <w:t xml:space="preserve">ČOV Třebotov – navýšení kapacity</w:t>
      <w:tab/>
      <w:tab/>
    </w:r>
    <w:r>
      <w:rPr>
        <w:i/>
      </w:rPr>
      <w:t xml:space="preserve">D.1.00 TECHNICKÁ ZPRÁVA</w:t>
    </w:r>
    <w:r>
      <w:rPr>
        <w:i/>
      </w:rPr>
    </w:r>
    <w:r>
      <w:rPr>
        <w:i/>
      </w:rPr>
    </w:r>
  </w:p>
  <w:p>
    <w:pPr>
      <w:pStyle w:val="1078"/>
      <w:pBdr/>
      <w:spacing/>
      <w:ind/>
      <w:rPr>
        <w:i/>
      </w:rPr>
    </w:pPr>
    <w:r>
      <w:rPr>
        <w:i/>
      </w:rPr>
      <w:t xml:space="preserve">Dokumentace pro provedení stavby (DPS)</w:t>
      <w:tab/>
      <w:tab/>
      <w:t xml:space="preserve">č. zak. 3/25-005</w:t>
    </w:r>
    <w:r>
      <w:rPr>
        <w:i/>
      </w:rPr>
    </w:r>
    <w:r>
      <w:rPr>
        <w:i/>
      </w:rPr>
    </w:r>
  </w:p>
  <w:p>
    <w:pPr>
      <w:pStyle w:val="106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pStyle w:val="1066"/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pStyle w:val="1067"/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pStyle w:val="1068"/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pStyle w:val="1069"/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pStyle w:val="1073"/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pStyle w:val="1074"/>
      <w:rPr/>
      <w:start w:val="0"/>
      <w:suff w:val="tab"/>
    </w:lvl>
  </w:abstractNum>
  <w:abstractNum w:abstractNumId="1">
    <w:nsid w:val="01246A2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">
    <w:nsid w:val="012F179C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079218FF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ascii="Wingdings" w:hAnsi="Wingdings"/>
      </w:rPr>
      <w:start w:val="1"/>
      <w:suff w:val="tab"/>
    </w:lvl>
  </w:abstractNum>
  <w:abstractNum w:abstractNumId="4">
    <w:nsid w:val="0A797CB8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0AD122A7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6">
    <w:nsid w:val="0B0D2E25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0FF84C3D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8">
    <w:nsid w:val="101817E7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9">
    <w:nsid w:val="10345687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0">
    <w:nsid w:val="10FB1C97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1">
    <w:nsid w:val="132B1F7B"/>
    <w:lvl w:ilvl="0">
      <w:isLgl w:val="false"/>
      <w:lvlJc w:val="left"/>
      <w:lvlText w:val="%1)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)"/>
      <w:numFmt w:val="lowerLetter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3)"/>
      <w:numFmt w:val="lowerRoman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3">
      <w:isLgl w:val="false"/>
      <w:lvlJc w:val="left"/>
      <w:lvlText w:val="(%4)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4">
      <w:isLgl w:val="false"/>
      <w:lvlJc w:val="left"/>
      <w:lvlText w:val="(%5)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5">
      <w:isLgl w:val="false"/>
      <w:lvlJc w:val="left"/>
      <w:lvlText w:val="(%6)"/>
      <w:numFmt w:val="lowerRoman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8">
      <w:isLgl w:val="false"/>
      <w:lvlJc w:val="left"/>
      <w:lvlText w:val="%9."/>
      <w:numFmt w:val="lowerRoman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</w:abstractNum>
  <w:abstractNum w:abstractNumId="12">
    <w:nsid w:val="16475B73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3">
    <w:nsid w:val="19643B0C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4">
    <w:nsid w:val="1BC1716D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ascii="Wingdings" w:hAnsi="Wingdings"/>
      </w:rPr>
      <w:start w:val="1"/>
      <w:suff w:val="tab"/>
    </w:lvl>
  </w:abstractNum>
  <w:abstractNum w:abstractNumId="15">
    <w:nsid w:val="1C0B7C60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6">
    <w:nsid w:val="1C1D452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7">
    <w:nsid w:val="1DA44F2C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8">
    <w:nsid w:val="1E217C2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9">
    <w:nsid w:val="1ED33ACD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0">
    <w:nsid w:val="1F693A9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Symbol" w:hAnsi="Symbol"/>
        <w:sz w:val="20"/>
      </w:rPr>
      <w:start w:val="1"/>
      <w:suff w:val="tab"/>
    </w:lvl>
    <w:lvl w:ilvl="2">
      <w:isLgl w:val="false"/>
      <w:lvlJc w:val="left"/>
      <w:lvlText w:val="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Symbol" w:hAnsi="Symbol"/>
        <w:sz w:val="20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  <w:sz w:val="20"/>
      </w:rPr>
      <w:start w:val="1"/>
      <w:suff w:val="tab"/>
    </w:lvl>
    <w:lvl w:ilvl="4">
      <w:isLgl w:val="false"/>
      <w:lvlJc w:val="left"/>
      <w:lvlText w:val="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Symbol" w:hAnsi="Symbol"/>
        <w:sz w:val="20"/>
      </w:rPr>
      <w:start w:val="1"/>
      <w:suff w:val="tab"/>
    </w:lvl>
    <w:lvl w:ilvl="5">
      <w:isLgl w:val="false"/>
      <w:lvlJc w:val="left"/>
      <w:lvlText w:val="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Symbol" w:hAnsi="Symbol"/>
        <w:sz w:val="20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  <w:sz w:val="20"/>
      </w:rPr>
      <w:start w:val="1"/>
      <w:suff w:val="tab"/>
    </w:lvl>
    <w:lvl w:ilvl="7">
      <w:isLgl w:val="false"/>
      <w:lvlJc w:val="left"/>
      <w:lvlText w:val="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Symbol" w:hAnsi="Symbol"/>
        <w:sz w:val="20"/>
      </w:rPr>
      <w:start w:val="1"/>
      <w:suff w:val="tab"/>
    </w:lvl>
    <w:lvl w:ilvl="8">
      <w:isLgl w:val="false"/>
      <w:lvlJc w:val="left"/>
      <w:lvlText w:val="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Symbol" w:hAnsi="Symbol"/>
        <w:sz w:val="20"/>
      </w:rPr>
      <w:start w:val="1"/>
      <w:suff w:val="tab"/>
    </w:lvl>
  </w:abstractNum>
  <w:abstractNum w:abstractNumId="21">
    <w:nsid w:val="2C3E06F0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2">
    <w:nsid w:val="2DFF559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3">
    <w:nsid w:val="30142A8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4">
    <w:nsid w:val="30323C7D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5">
    <w:nsid w:val="38D161E1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6">
    <w:nsid w:val="393A1E5D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27">
    <w:nsid w:val="46C3657D"/>
    <w:lvl w:ilvl="0">
      <w:isLgl w:val="false"/>
      <w:lvlJc w:val="left"/>
      <w:lvlText w:val="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ascii="Courier New" w:hAnsi="Courier New" w:cs="SuperFrench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ascii="Courier New" w:hAnsi="Courier New" w:cs="SuperFrench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ascii="Courier New" w:hAnsi="Courier New" w:cs="SuperFrench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840"/>
        </w:tabs>
        <w:spacing/>
        <w:ind w:hanging="360" w:left="6840"/>
      </w:pPr>
      <w:rPr>
        <w:rFonts w:ascii="Wingdings" w:hAnsi="Wingdings"/>
      </w:rPr>
      <w:start w:val="1"/>
      <w:suff w:val="tab"/>
    </w:lvl>
  </w:abstractNum>
  <w:abstractNum w:abstractNumId="28">
    <w:nsid w:val="47204D3E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9">
    <w:nsid w:val="49D65ED4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0">
    <w:nsid w:val="4C9A73DD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1">
    <w:nsid w:val="5507291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2">
    <w:nsid w:val="60A5756A"/>
    <w:lvl w:ilvl="0">
      <w:isLgl w:val="false"/>
      <w:lvlJc w:val="left"/>
      <w:lvlText w:val="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ascii="Courier New" w:hAnsi="Courier New" w:cs="SuperFrench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ascii="Courier New" w:hAnsi="Courier New" w:cs="SuperFrench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ascii="Courier New" w:hAnsi="Courier New" w:cs="SuperFrench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840"/>
        </w:tabs>
        <w:spacing/>
        <w:ind w:hanging="360" w:left="6840"/>
      </w:pPr>
      <w:rPr>
        <w:rFonts w:ascii="Wingdings" w:hAnsi="Wingdings"/>
      </w:rPr>
      <w:start w:val="1"/>
      <w:suff w:val="tab"/>
    </w:lvl>
  </w:abstractNum>
  <w:abstractNum w:abstractNumId="33">
    <w:nsid w:val="63934724"/>
    <w:lvl w:ilvl="0">
      <w:isLgl w:val="false"/>
      <w:lvlJc w:val="left"/>
      <w:lvlText w:val=""/>
      <w:numFmt w:val="bullet"/>
      <w:pPr>
        <w:pBdr/>
        <w:tabs>
          <w:tab w:val="num" w:leader="none" w:pos="1080"/>
        </w:tabs>
        <w:spacing/>
        <w:ind w:hanging="360" w:left="1080"/>
      </w:pPr>
      <w:rPr>
        <w:rFonts w:ascii="Wingdings" w:hAnsi="Wingdings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800"/>
        </w:tabs>
        <w:spacing/>
        <w:ind w:hanging="360" w:left="1800"/>
      </w:pPr>
      <w:rPr>
        <w:rFonts w:ascii="Courier New" w:hAnsi="Courier New" w:cs="SuperFrench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520"/>
        </w:tabs>
        <w:spacing/>
        <w:ind w:hanging="360" w:left="252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3240"/>
        </w:tabs>
        <w:spacing/>
        <w:ind w:hanging="360" w:left="324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960"/>
        </w:tabs>
        <w:spacing/>
        <w:ind w:hanging="360" w:left="3960"/>
      </w:pPr>
      <w:rPr>
        <w:rFonts w:ascii="Courier New" w:hAnsi="Courier New" w:cs="SuperFrench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680"/>
        </w:tabs>
        <w:spacing/>
        <w:ind w:hanging="360" w:left="468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400"/>
        </w:tabs>
        <w:spacing/>
        <w:ind w:hanging="360" w:left="540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6120"/>
        </w:tabs>
        <w:spacing/>
        <w:ind w:hanging="360" w:left="6120"/>
      </w:pPr>
      <w:rPr>
        <w:rFonts w:ascii="Courier New" w:hAnsi="Courier New" w:cs="SuperFrench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840"/>
        </w:tabs>
        <w:spacing/>
        <w:ind w:hanging="360" w:left="6840"/>
      </w:pPr>
      <w:rPr>
        <w:rFonts w:ascii="Wingdings" w:hAnsi="Wingdings"/>
      </w:rPr>
      <w:start w:val="1"/>
      <w:suff w:val="tab"/>
    </w:lvl>
  </w:abstractNum>
  <w:abstractNum w:abstractNumId="34">
    <w:nsid w:val="65CD4200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5">
    <w:nsid w:val="6A88238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6">
    <w:nsid w:val="6D31522F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7">
    <w:nsid w:val="6E046B32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8">
    <w:nsid w:val="6E0630F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39">
    <w:nsid w:val="713E2A3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40">
    <w:nsid w:val="73D90B30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41">
    <w:nsid w:val="751B663E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2">
    <w:nsid w:val="77CA3F5B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3">
    <w:nsid w:val="7937076B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44">
    <w:nsid w:val="7AC82E83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5">
    <w:nsid w:val="7B147D58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6">
    <w:nsid w:val="7C6A3DAE"/>
    <w:lvl w:ilvl="0">
      <w:isLgl w:val="false"/>
      <w:lvlJc w:val="left"/>
      <w:lvlText w:val="%1)"/>
      <w:numFmt w:val="decimal"/>
      <w:pPr>
        <w:pBdr/>
        <w:tabs>
          <w:tab w:val="num" w:leader="none" w:pos="360"/>
        </w:tabs>
        <w:spacing/>
        <w:ind w:hanging="360" w:left="360"/>
      </w:pPr>
      <w:rPr/>
      <w:start w:val="1"/>
      <w:suff w:val="tab"/>
    </w:lvl>
    <w:lvl w:ilvl="1">
      <w:isLgl w:val="false"/>
      <w:lvlJc w:val="left"/>
      <w:lvlText w:val="%2)"/>
      <w:numFmt w:val="lowerLetter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2">
      <w:isLgl w:val="false"/>
      <w:lvlJc w:val="left"/>
      <w:lvlText w:val="%3)"/>
      <w:numFmt w:val="lowerRoman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3">
      <w:isLgl w:val="false"/>
      <w:lvlJc w:val="left"/>
      <w:lvlText w:val="(%4)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4">
      <w:isLgl w:val="false"/>
      <w:lvlJc w:val="left"/>
      <w:lvlText w:val="(%5)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5">
      <w:isLgl w:val="false"/>
      <w:lvlJc w:val="left"/>
      <w:lvlText w:val="(%6)"/>
      <w:numFmt w:val="lowerRoman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8">
      <w:isLgl w:val="false"/>
      <w:lvlJc w:val="left"/>
      <w:lvlText w:val="%9."/>
      <w:numFmt w:val="lowerRoman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</w:abstractNum>
  <w:abstractNum w:abstractNumId="47">
    <w:nsid w:val="7D964214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</w:rPr>
      <w:start w:val="1"/>
      <w:suff w:val="tab"/>
    </w:lvl>
    <w:lvl w:ilvl="1">
      <w:isLgl w:val="false"/>
      <w:lvlJc w:val="left"/>
      <w:lvlText w:val="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Wingdings" w:hAnsi="Wingdings"/>
      </w:rPr>
      <w:start w:val="1"/>
      <w:suff w:val="tab"/>
    </w:lvl>
    <w:lvl w:ilvl="2">
      <w:isLgl w:val="false"/>
      <w:lvlJc w:val="left"/>
      <w:lvlText w:val="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48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49">
    <w:nsid w:val="4B334B7C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0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1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2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3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4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5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6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7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58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59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60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61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62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63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64">
    <w:nsid w:val="1E217C2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65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66">
    <w:nsid w:val="1E217C2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67">
    <w:nsid w:val="FFFFFFFB"/>
    <w:lvl w:ilvl="0">
      <w:isLgl w:val="false"/>
      <w:legacy w:legacy="true" w:legacyIndent="0" w:legacySpace="0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egacy w:legacy="true" w:legacyIndent="0" w:legacySpace="0"/>
      <w:lvlJc w:val="left"/>
      <w:lvlText w:val="%1.%2."/>
      <w:numFmt w:val="decimal"/>
      <w:pPr>
        <w:pBdr/>
        <w:spacing/>
        <w:ind/>
      </w:pPr>
      <w:rPr/>
      <w:start w:val="1"/>
      <w:suff w:val="tab"/>
    </w:lvl>
    <w:lvl w:ilvl="2">
      <w:isLgl w:val="false"/>
      <w:legacy w:legacy="true" w:legacyIndent="0" w:legacySpace="0"/>
      <w:lvlJc w:val="left"/>
      <w:lvlText w:val="%1.%2.%3."/>
      <w:numFmt w:val="decimal"/>
      <w:pPr>
        <w:pBdr/>
        <w:spacing/>
        <w:ind/>
      </w:pPr>
      <w:rPr/>
      <w:start w:val="1"/>
      <w:suff w:val="tab"/>
    </w:lvl>
    <w:lvl w:ilvl="3">
      <w:isLgl w:val="false"/>
      <w:legacy w:legacy="true" w:legacyIndent="0" w:legacySpace="0"/>
      <w:lvlJc w:val="left"/>
      <w:lvlText w:val="%1.%2.%3.%4."/>
      <w:numFmt w:val="decimal"/>
      <w:pPr>
        <w:pBdr/>
        <w:spacing/>
        <w:ind/>
      </w:pPr>
      <w:rPr/>
      <w:start w:val="1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68">
    <w:nsid w:val="1E217C2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69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0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1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72">
    <w:nsid w:val="581C126A"/>
    <w:lvl w:ilvl="0">
      <w:isLgl w:val="false"/>
      <w:lvlJc w:val="left"/>
      <w:lvlText w:val="–"/>
      <w:numFmt w:val="bullet"/>
      <w:pPr>
        <w:pBdr/>
        <w:spacing/>
        <w:ind w:hanging="360" w:left="709"/>
      </w:pPr>
      <w:rPr>
        <w:rFonts w:hint="default"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  <w:num w:numId="2">
    <w:abstractNumId w:val="17"/>
  </w:num>
  <w:num w:numId="3">
    <w:abstractNumId w:val="4"/>
  </w:num>
  <w:num w:numId="4">
    <w:abstractNumId w:val="44"/>
  </w:num>
  <w:num w:numId="5">
    <w:abstractNumId w:val="15"/>
  </w:num>
  <w:num w:numId="6">
    <w:abstractNumId w:val="19"/>
  </w:num>
  <w:num w:numId="7">
    <w:abstractNumId w:val="42"/>
  </w:num>
  <w:num w:numId="8">
    <w:abstractNumId w:val="24"/>
  </w:num>
  <w:num w:numId="9">
    <w:abstractNumId w:val="28"/>
  </w:num>
  <w:num w:numId="10">
    <w:abstractNumId w:val="45"/>
  </w:num>
  <w:num w:numId="11">
    <w:abstractNumId w:val="10"/>
  </w:num>
  <w:num w:numId="12">
    <w:abstractNumId w:val="6"/>
  </w:num>
  <w:num w:numId="13">
    <w:abstractNumId w:val="2"/>
  </w:num>
  <w:num w:numId="14">
    <w:abstractNumId w:val="41"/>
  </w:num>
  <w:num w:numId="15">
    <w:abstractNumId w:val="23"/>
  </w:num>
  <w:num w:numId="16">
    <w:abstractNumId w:val="13"/>
  </w:num>
  <w:num w:numId="17">
    <w:abstractNumId w:val="40"/>
  </w:num>
  <w:num w:numId="18">
    <w:abstractNumId w:val="47"/>
  </w:num>
  <w:num w:numId="19">
    <w:abstractNumId w:val="46"/>
  </w:num>
  <w:num w:numId="20">
    <w:abstractNumId w:val="11"/>
  </w:num>
  <w:num w:numId="21">
    <w:abstractNumId w:val="32"/>
  </w:num>
  <w:num w:numId="22">
    <w:abstractNumId w:val="33"/>
  </w:num>
  <w:num w:numId="23">
    <w:abstractNumId w:val="27"/>
  </w:num>
  <w:num w:numId="24">
    <w:abstractNumId w:val="9"/>
  </w:num>
  <w:num w:numId="25">
    <w:abstractNumId w:val="16"/>
  </w:num>
  <w:num w:numId="26">
    <w:abstractNumId w:val="30"/>
  </w:num>
  <w:num w:numId="27">
    <w:abstractNumId w:val="36"/>
  </w:num>
  <w:num w:numId="28">
    <w:abstractNumId w:val="7"/>
  </w:num>
  <w:num w:numId="29">
    <w:abstractNumId w:val="35"/>
  </w:num>
  <w:num w:numId="30">
    <w:abstractNumId w:val="26"/>
  </w:num>
  <w:num w:numId="31">
    <w:abstractNumId w:val="31"/>
  </w:num>
  <w:num w:numId="32">
    <w:abstractNumId w:val="38"/>
  </w:num>
  <w:num w:numId="33">
    <w:abstractNumId w:val="22"/>
  </w:num>
  <w:num w:numId="34">
    <w:abstractNumId w:val="5"/>
  </w:num>
  <w:num w:numId="35">
    <w:abstractNumId w:val="34"/>
  </w:num>
  <w:num w:numId="36">
    <w:abstractNumId w:val="3"/>
  </w:num>
  <w:num w:numId="37">
    <w:abstractNumId w:val="39"/>
  </w:num>
  <w:num w:numId="38">
    <w:abstractNumId w:val="1"/>
  </w:num>
  <w:num w:numId="39">
    <w:abstractNumId w:val="14"/>
  </w:num>
  <w:num w:numId="40">
    <w:abstractNumId w:val="29"/>
  </w:num>
  <w:num w:numId="41">
    <w:abstractNumId w:val="8"/>
  </w:num>
  <w:num w:numId="42">
    <w:abstractNumId w:val="12"/>
  </w:num>
  <w:num w:numId="43">
    <w:abstractNumId w:val="37"/>
  </w:num>
  <w:num w:numId="44">
    <w:abstractNumId w:val="25"/>
  </w:num>
  <w:num w:numId="45">
    <w:abstractNumId w:val="43"/>
  </w:num>
  <w:num w:numId="46">
    <w:abstractNumId w:val="20"/>
  </w:num>
  <w:num w:numId="47">
    <w:abstractNumId w:val="18"/>
  </w:num>
  <w:num w:numId="48">
    <w:abstractNumId w:val="21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cs-CZ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7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Table Grid"/>
    <w:basedOn w:val="8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Table Grid Light"/>
    <w:basedOn w:val="8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Plain Table 1"/>
    <w:basedOn w:val="8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Plain Table 2"/>
    <w:basedOn w:val="87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Plain Table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Plain Table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Plain Table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1 Light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1 Light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1 Light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1 Light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1 Light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1 Light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1 Light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2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2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2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2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2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2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3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3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3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3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3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3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4"/>
    <w:basedOn w:val="8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4 - Accent 1"/>
    <w:basedOn w:val="8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4 - Accent 2"/>
    <w:basedOn w:val="8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4 - Accent 3"/>
    <w:basedOn w:val="8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4 - Accent 4"/>
    <w:basedOn w:val="8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4 - Accent 5"/>
    <w:basedOn w:val="8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4 - Accent 6"/>
    <w:basedOn w:val="87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5 Dark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5 Dark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5 Dark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5 Dark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5 Dark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5 Dark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5 Dark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6 Colorful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6 Colorful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6 Colorful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6 Colorful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6 Colorful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6 Colorful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6 Colorful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7 Colorful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7 Colorful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7 Colorful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7 Colorful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7 Colorful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7 Colorful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7 Colorful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1 Light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1 Light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1 Light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1 Light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1 Light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1 Light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1 Light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2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2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2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2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2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2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3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3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3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3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3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3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4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4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4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4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4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4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5 Dark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5 Dark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5 Dark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5 Dark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5 Dark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5 Dark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5 Dark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6 Colorful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6 Colorful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6 Colorful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6 Colorful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6 Colorful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6 Colorful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6 Colorful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7 Colorful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7 Colorful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7 Colorful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7 Colorful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7 Colorful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7 Colorful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7 Colorful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ned - Accent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ned - Accent 1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ned - Accent 2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ned - Accent 3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ned - Accent 4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ned - Accent 5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ned - Accent 6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Bordered &amp; Lined - Accent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Bordered &amp; Lined - Accent 1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Bordered &amp; Lined - Accent 2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Bordered &amp; Lined - Accent 3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Bordered &amp; Lined - Accent 4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Bordered &amp; Lined - Accent 5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Bordered &amp; Lined - Accent 6"/>
    <w:basedOn w:val="87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Bordered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Bordered - Accent 1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Bordered - Accent 2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Bordered - Accent 3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Bordered - Accent 4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Bordered - Accent 5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Bordered - Accent 6"/>
    <w:basedOn w:val="87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03">
    <w:name w:val="Heading 1"/>
    <w:basedOn w:val="1065"/>
    <w:next w:val="1065"/>
    <w:link w:val="101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004">
    <w:name w:val="Heading 2"/>
    <w:basedOn w:val="1065"/>
    <w:next w:val="1065"/>
    <w:link w:val="101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005">
    <w:name w:val="Heading 3"/>
    <w:basedOn w:val="1065"/>
    <w:next w:val="1065"/>
    <w:link w:val="1016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006">
    <w:name w:val="Heading 4"/>
    <w:basedOn w:val="1065"/>
    <w:next w:val="1065"/>
    <w:link w:val="101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07">
    <w:name w:val="Heading 5"/>
    <w:basedOn w:val="1065"/>
    <w:next w:val="1065"/>
    <w:link w:val="101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08">
    <w:name w:val="Heading 6"/>
    <w:basedOn w:val="1065"/>
    <w:next w:val="1065"/>
    <w:link w:val="101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09">
    <w:name w:val="Heading 7"/>
    <w:basedOn w:val="1065"/>
    <w:next w:val="1065"/>
    <w:link w:val="102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10">
    <w:name w:val="Heading 8"/>
    <w:basedOn w:val="1065"/>
    <w:next w:val="1065"/>
    <w:link w:val="102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11">
    <w:name w:val="Heading 9"/>
    <w:basedOn w:val="1065"/>
    <w:next w:val="1065"/>
    <w:link w:val="102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12" w:default="1">
    <w:name w:val="Default Paragraph Font"/>
    <w:uiPriority w:val="1"/>
    <w:semiHidden/>
    <w:unhideWhenUsed/>
    <w:pPr>
      <w:pBdr/>
      <w:spacing/>
      <w:ind/>
    </w:pPr>
  </w:style>
  <w:style w:type="numbering" w:styleId="1013" w:default="1">
    <w:name w:val="No List"/>
    <w:uiPriority w:val="99"/>
    <w:semiHidden/>
    <w:unhideWhenUsed/>
    <w:pPr>
      <w:pBdr/>
      <w:spacing/>
      <w:ind/>
    </w:pPr>
  </w:style>
  <w:style w:type="character" w:styleId="1014">
    <w:name w:val="Heading 1 Char"/>
    <w:basedOn w:val="1012"/>
    <w:link w:val="100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15">
    <w:name w:val="Heading 2 Char"/>
    <w:basedOn w:val="1012"/>
    <w:link w:val="100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16">
    <w:name w:val="Heading 3 Char"/>
    <w:basedOn w:val="1012"/>
    <w:link w:val="100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17">
    <w:name w:val="Heading 4 Char"/>
    <w:basedOn w:val="1012"/>
    <w:link w:val="100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18">
    <w:name w:val="Heading 5 Char"/>
    <w:basedOn w:val="1012"/>
    <w:link w:val="100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19">
    <w:name w:val="Heading 6 Char"/>
    <w:basedOn w:val="1012"/>
    <w:link w:val="100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20">
    <w:name w:val="Heading 7 Char"/>
    <w:basedOn w:val="1012"/>
    <w:link w:val="100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21">
    <w:name w:val="Heading 8 Char"/>
    <w:basedOn w:val="1012"/>
    <w:link w:val="101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22">
    <w:name w:val="Heading 9 Char"/>
    <w:basedOn w:val="1012"/>
    <w:link w:val="101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23">
    <w:name w:val="Title"/>
    <w:basedOn w:val="1065"/>
    <w:next w:val="1065"/>
    <w:link w:val="102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24">
    <w:name w:val="Title Char"/>
    <w:basedOn w:val="1012"/>
    <w:link w:val="102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25">
    <w:name w:val="Subtitle"/>
    <w:basedOn w:val="1065"/>
    <w:next w:val="1065"/>
    <w:link w:val="102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26">
    <w:name w:val="Subtitle Char"/>
    <w:basedOn w:val="1012"/>
    <w:link w:val="102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27">
    <w:name w:val="Quote"/>
    <w:basedOn w:val="1065"/>
    <w:next w:val="1065"/>
    <w:link w:val="102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28">
    <w:name w:val="Quote Char"/>
    <w:basedOn w:val="1012"/>
    <w:link w:val="1027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029">
    <w:name w:val="List Paragraph"/>
    <w:basedOn w:val="1065"/>
    <w:uiPriority w:val="34"/>
    <w:qFormat/>
    <w:pPr>
      <w:pBdr/>
      <w:spacing/>
      <w:ind w:left="720"/>
      <w:contextualSpacing w:val="true"/>
    </w:pPr>
  </w:style>
  <w:style w:type="character" w:styleId="1030">
    <w:name w:val="Intense Emphasis"/>
    <w:basedOn w:val="101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31">
    <w:name w:val="Intense Quote"/>
    <w:basedOn w:val="1065"/>
    <w:next w:val="1065"/>
    <w:link w:val="1032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32">
    <w:name w:val="Intense Quote Char"/>
    <w:basedOn w:val="1012"/>
    <w:link w:val="1031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33">
    <w:name w:val="Intense Reference"/>
    <w:basedOn w:val="101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034">
    <w:name w:val="No Spacing"/>
    <w:basedOn w:val="1065"/>
    <w:uiPriority w:val="1"/>
    <w:qFormat/>
    <w:pPr>
      <w:pBdr/>
      <w:spacing w:after="0" w:line="240" w:lineRule="auto"/>
      <w:ind/>
    </w:pPr>
  </w:style>
  <w:style w:type="character" w:styleId="1035">
    <w:name w:val="Subtle Emphasis"/>
    <w:basedOn w:val="101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36">
    <w:name w:val="Emphasis"/>
    <w:basedOn w:val="1012"/>
    <w:uiPriority w:val="20"/>
    <w:qFormat/>
    <w:pPr>
      <w:pBdr/>
      <w:spacing/>
      <w:ind/>
    </w:pPr>
    <w:rPr>
      <w:i/>
      <w:iCs/>
    </w:rPr>
  </w:style>
  <w:style w:type="character" w:styleId="1037">
    <w:name w:val="Strong"/>
    <w:basedOn w:val="1012"/>
    <w:uiPriority w:val="22"/>
    <w:qFormat/>
    <w:pPr>
      <w:pBdr/>
      <w:spacing/>
      <w:ind/>
    </w:pPr>
    <w:rPr>
      <w:b/>
      <w:bCs/>
    </w:rPr>
  </w:style>
  <w:style w:type="character" w:styleId="1038">
    <w:name w:val="Subtle Reference"/>
    <w:basedOn w:val="101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39">
    <w:name w:val="Book Title"/>
    <w:basedOn w:val="101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40">
    <w:name w:val="Header"/>
    <w:basedOn w:val="1065"/>
    <w:link w:val="104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041">
    <w:name w:val="Header Char"/>
    <w:basedOn w:val="1012"/>
    <w:link w:val="1040"/>
    <w:uiPriority w:val="99"/>
    <w:pPr>
      <w:pBdr/>
      <w:spacing/>
      <w:ind/>
    </w:pPr>
  </w:style>
  <w:style w:type="paragraph" w:styleId="1042">
    <w:name w:val="Footer"/>
    <w:basedOn w:val="1065"/>
    <w:link w:val="104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043">
    <w:name w:val="Footer Char"/>
    <w:basedOn w:val="1012"/>
    <w:link w:val="1042"/>
    <w:uiPriority w:val="99"/>
    <w:pPr>
      <w:pBdr/>
      <w:spacing/>
      <w:ind/>
    </w:pPr>
  </w:style>
  <w:style w:type="paragraph" w:styleId="1044">
    <w:name w:val="Caption"/>
    <w:basedOn w:val="1065"/>
    <w:next w:val="1065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045">
    <w:name w:val="footnote text"/>
    <w:basedOn w:val="1065"/>
    <w:link w:val="104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46">
    <w:name w:val="Footnote Text Char"/>
    <w:basedOn w:val="1012"/>
    <w:link w:val="1045"/>
    <w:uiPriority w:val="99"/>
    <w:semiHidden/>
    <w:pPr>
      <w:pBdr/>
      <w:spacing/>
      <w:ind/>
    </w:pPr>
    <w:rPr>
      <w:sz w:val="20"/>
      <w:szCs w:val="20"/>
    </w:rPr>
  </w:style>
  <w:style w:type="character" w:styleId="1047">
    <w:name w:val="footnote reference"/>
    <w:basedOn w:val="1012"/>
    <w:uiPriority w:val="99"/>
    <w:semiHidden/>
    <w:unhideWhenUsed/>
    <w:pPr>
      <w:pBdr/>
      <w:spacing/>
      <w:ind/>
    </w:pPr>
    <w:rPr>
      <w:vertAlign w:val="superscript"/>
    </w:rPr>
  </w:style>
  <w:style w:type="paragraph" w:styleId="1048">
    <w:name w:val="endnote text"/>
    <w:basedOn w:val="1065"/>
    <w:link w:val="104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49">
    <w:name w:val="Endnote Text Char"/>
    <w:basedOn w:val="1012"/>
    <w:link w:val="1048"/>
    <w:uiPriority w:val="99"/>
    <w:semiHidden/>
    <w:pPr>
      <w:pBdr/>
      <w:spacing/>
      <w:ind/>
    </w:pPr>
    <w:rPr>
      <w:sz w:val="20"/>
      <w:szCs w:val="20"/>
    </w:rPr>
  </w:style>
  <w:style w:type="character" w:styleId="1050">
    <w:name w:val="endnote reference"/>
    <w:basedOn w:val="1012"/>
    <w:uiPriority w:val="99"/>
    <w:semiHidden/>
    <w:unhideWhenUsed/>
    <w:pPr>
      <w:pBdr/>
      <w:spacing/>
      <w:ind/>
    </w:pPr>
    <w:rPr>
      <w:vertAlign w:val="superscript"/>
    </w:rPr>
  </w:style>
  <w:style w:type="character" w:styleId="1051">
    <w:name w:val="Hyperlink"/>
    <w:basedOn w:val="101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52">
    <w:name w:val="FollowedHyperlink"/>
    <w:basedOn w:val="101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53">
    <w:name w:val="toc 1"/>
    <w:basedOn w:val="1065"/>
    <w:next w:val="1065"/>
    <w:uiPriority w:val="39"/>
    <w:unhideWhenUsed/>
    <w:pPr>
      <w:pBdr/>
      <w:spacing w:after="100"/>
      <w:ind/>
    </w:pPr>
  </w:style>
  <w:style w:type="paragraph" w:styleId="1054">
    <w:name w:val="toc 2"/>
    <w:basedOn w:val="1065"/>
    <w:next w:val="1065"/>
    <w:uiPriority w:val="39"/>
    <w:unhideWhenUsed/>
    <w:pPr>
      <w:pBdr/>
      <w:spacing w:after="100"/>
      <w:ind w:left="220"/>
    </w:pPr>
  </w:style>
  <w:style w:type="paragraph" w:styleId="1055">
    <w:name w:val="toc 3"/>
    <w:basedOn w:val="1065"/>
    <w:next w:val="1065"/>
    <w:uiPriority w:val="39"/>
    <w:unhideWhenUsed/>
    <w:pPr>
      <w:pBdr/>
      <w:spacing w:after="100"/>
      <w:ind w:left="440"/>
    </w:pPr>
  </w:style>
  <w:style w:type="paragraph" w:styleId="1056">
    <w:name w:val="toc 4"/>
    <w:basedOn w:val="1065"/>
    <w:next w:val="1065"/>
    <w:uiPriority w:val="39"/>
    <w:unhideWhenUsed/>
    <w:pPr>
      <w:pBdr/>
      <w:spacing w:after="100"/>
      <w:ind w:left="660"/>
    </w:pPr>
  </w:style>
  <w:style w:type="paragraph" w:styleId="1057">
    <w:name w:val="toc 5"/>
    <w:basedOn w:val="1065"/>
    <w:next w:val="1065"/>
    <w:uiPriority w:val="39"/>
    <w:unhideWhenUsed/>
    <w:pPr>
      <w:pBdr/>
      <w:spacing w:after="100"/>
      <w:ind w:left="880"/>
    </w:pPr>
  </w:style>
  <w:style w:type="paragraph" w:styleId="1058">
    <w:name w:val="toc 6"/>
    <w:basedOn w:val="1065"/>
    <w:next w:val="1065"/>
    <w:uiPriority w:val="39"/>
    <w:unhideWhenUsed/>
    <w:pPr>
      <w:pBdr/>
      <w:spacing w:after="100"/>
      <w:ind w:left="1100"/>
    </w:pPr>
  </w:style>
  <w:style w:type="paragraph" w:styleId="1059">
    <w:name w:val="toc 7"/>
    <w:basedOn w:val="1065"/>
    <w:next w:val="1065"/>
    <w:uiPriority w:val="39"/>
    <w:unhideWhenUsed/>
    <w:pPr>
      <w:pBdr/>
      <w:spacing w:after="100"/>
      <w:ind w:left="1320"/>
    </w:pPr>
  </w:style>
  <w:style w:type="paragraph" w:styleId="1060">
    <w:name w:val="toc 8"/>
    <w:basedOn w:val="1065"/>
    <w:next w:val="1065"/>
    <w:uiPriority w:val="39"/>
    <w:unhideWhenUsed/>
    <w:pPr>
      <w:pBdr/>
      <w:spacing w:after="100"/>
      <w:ind w:left="1540"/>
    </w:pPr>
  </w:style>
  <w:style w:type="paragraph" w:styleId="1061">
    <w:name w:val="toc 9"/>
    <w:basedOn w:val="1065"/>
    <w:next w:val="1065"/>
    <w:uiPriority w:val="39"/>
    <w:unhideWhenUsed/>
    <w:pPr>
      <w:pBdr/>
      <w:spacing w:after="100"/>
      <w:ind w:left="1760"/>
    </w:pPr>
  </w:style>
  <w:style w:type="character" w:styleId="1062">
    <w:name w:val="Placeholder Text"/>
    <w:basedOn w:val="1012"/>
    <w:uiPriority w:val="99"/>
    <w:semiHidden/>
    <w:pPr>
      <w:pBdr/>
      <w:spacing/>
      <w:ind/>
    </w:pPr>
    <w:rPr>
      <w:color w:val="666666"/>
    </w:rPr>
  </w:style>
  <w:style w:type="paragraph" w:styleId="1063">
    <w:name w:val="TOC Heading"/>
    <w:uiPriority w:val="39"/>
    <w:unhideWhenUsed/>
    <w:pPr>
      <w:pBdr/>
      <w:spacing/>
      <w:ind/>
    </w:pPr>
  </w:style>
  <w:style w:type="paragraph" w:styleId="1064">
    <w:name w:val="table of figures"/>
    <w:basedOn w:val="1065"/>
    <w:next w:val="1065"/>
    <w:uiPriority w:val="99"/>
    <w:unhideWhenUsed/>
    <w:pPr>
      <w:pBdr/>
      <w:spacing w:after="0" w:afterAutospacing="0"/>
      <w:ind/>
    </w:pPr>
  </w:style>
  <w:style w:type="paragraph" w:styleId="1065" w:default="1">
    <w:name w:val="Normal"/>
    <w:next w:val="1065"/>
    <w:link w:val="1065"/>
    <w:qFormat/>
    <w:pPr>
      <w:pBdr/>
      <w:tabs>
        <w:tab w:val="left" w:leader="none" w:pos="567"/>
      </w:tabs>
      <w:spacing w:line="360" w:lineRule="auto"/>
      <w:ind/>
      <w:jc w:val="both"/>
    </w:pPr>
    <w:rPr>
      <w:rFonts w:ascii="Arial" w:hAnsi="Arial"/>
      <w:sz w:val="22"/>
      <w:lang w:val="cs-CZ" w:eastAsia="cs-CZ" w:bidi="ar-SA"/>
    </w:rPr>
  </w:style>
  <w:style w:type="paragraph" w:styleId="1066">
    <w:name w:val="Nadpis 1"/>
    <w:basedOn w:val="1065"/>
    <w:next w:val="1065"/>
    <w:link w:val="1065"/>
    <w:qFormat/>
    <w:pPr>
      <w:keepNext w:val="true"/>
      <w:numPr>
        <w:ilvl w:val="0"/>
        <w:numId w:val="1"/>
      </w:numPr>
      <w:pBdr/>
      <w:spacing w:after="280" w:before="400"/>
      <w:ind/>
      <w:jc w:val="left"/>
      <w:outlineLvl w:val="0"/>
    </w:pPr>
    <w:rPr>
      <w:b/>
      <w:caps/>
      <w:sz w:val="28"/>
      <w:u w:val="single"/>
    </w:rPr>
  </w:style>
  <w:style w:type="paragraph" w:styleId="1067">
    <w:name w:val="Nadpis 2"/>
    <w:basedOn w:val="1065"/>
    <w:next w:val="1065"/>
    <w:link w:val="1065"/>
    <w:qFormat/>
    <w:pPr>
      <w:keepNext w:val="true"/>
      <w:numPr>
        <w:ilvl w:val="1"/>
        <w:numId w:val="1"/>
      </w:numPr>
      <w:pBdr/>
      <w:spacing w:after="240" w:before="360"/>
      <w:ind/>
      <w:outlineLvl w:val="1"/>
    </w:pPr>
    <w:rPr>
      <w:b/>
      <w:caps/>
      <w:sz w:val="28"/>
      <w:u w:val="single"/>
    </w:rPr>
  </w:style>
  <w:style w:type="paragraph" w:styleId="1068">
    <w:name w:val="Nadpis 3"/>
    <w:basedOn w:val="1067"/>
    <w:next w:val="1065"/>
    <w:link w:val="1065"/>
    <w:qFormat/>
    <w:pPr>
      <w:numPr>
        <w:ilvl w:val="2"/>
        <w:numId w:val="1"/>
      </w:numPr>
      <w:pBdr/>
      <w:spacing/>
      <w:ind/>
      <w:outlineLvl w:val="2"/>
    </w:pPr>
    <w:rPr>
      <w:sz w:val="24"/>
    </w:rPr>
  </w:style>
  <w:style w:type="paragraph" w:styleId="1069">
    <w:name w:val="Nadpis 4"/>
    <w:basedOn w:val="1065"/>
    <w:next w:val="1065"/>
    <w:link w:val="1109"/>
    <w:qFormat/>
    <w:pPr>
      <w:keepNext w:val="true"/>
      <w:numPr>
        <w:ilvl w:val="3"/>
        <w:numId w:val="1"/>
      </w:numPr>
      <w:pBdr/>
      <w:tabs>
        <w:tab w:val="left" w:leader="none" w:pos="284"/>
        <w:tab w:val="left" w:leader="none" w:pos="851"/>
        <w:tab w:val="left" w:leader="none" w:pos="1134"/>
        <w:tab w:val="left" w:leader="none" w:pos="1418"/>
        <w:tab w:val="left" w:leader="none" w:pos="1701"/>
      </w:tabs>
      <w:spacing w:after="60" w:before="120" w:line="312" w:lineRule="auto"/>
      <w:ind/>
      <w:jc w:val="left"/>
      <w:outlineLvl w:val="3"/>
    </w:pPr>
    <w:rPr>
      <w:b/>
      <w:i/>
      <w:sz w:val="24"/>
      <w:u w:val="single"/>
    </w:rPr>
  </w:style>
  <w:style w:type="paragraph" w:styleId="1070">
    <w:name w:val="Nadpis 5"/>
    <w:basedOn w:val="1065"/>
    <w:next w:val="1065"/>
    <w:link w:val="1065"/>
    <w:qFormat/>
    <w:pPr>
      <w:keepNext w:val="true"/>
      <w:pBdr/>
      <w:spacing/>
      <w:ind/>
      <w:outlineLvl w:val="4"/>
    </w:pPr>
    <w:rPr>
      <w:b/>
      <w:color w:val="ff00ff"/>
    </w:rPr>
  </w:style>
  <w:style w:type="paragraph" w:styleId="1071">
    <w:name w:val="Nadpis 6"/>
    <w:basedOn w:val="1065"/>
    <w:next w:val="1065"/>
    <w:link w:val="1065"/>
    <w:qFormat/>
    <w:pPr>
      <w:keepNext w:val="true"/>
      <w:pBdr/>
      <w:spacing/>
      <w:ind/>
      <w:outlineLvl w:val="5"/>
    </w:pPr>
    <w:rPr>
      <w:b/>
    </w:rPr>
  </w:style>
  <w:style w:type="paragraph" w:styleId="1072">
    <w:name w:val="Nadpis 7"/>
    <w:basedOn w:val="1065"/>
    <w:next w:val="1065"/>
    <w:link w:val="1065"/>
    <w:qFormat/>
    <w:pPr>
      <w:keepNext w:val="true"/>
      <w:pBdr/>
      <w:spacing/>
      <w:ind/>
      <w:outlineLvl w:val="6"/>
    </w:pPr>
    <w:rPr>
      <w:i/>
      <w:u w:val="single"/>
    </w:rPr>
  </w:style>
  <w:style w:type="paragraph" w:styleId="1073">
    <w:name w:val="Nadpis 8"/>
    <w:basedOn w:val="1065"/>
    <w:next w:val="1065"/>
    <w:link w:val="1065"/>
    <w:qFormat/>
    <w:pPr>
      <w:widowControl w:val="false"/>
      <w:numPr>
        <w:ilvl w:val="7"/>
        <w:numId w:val="1"/>
      </w:numPr>
      <w:pBdr/>
      <w:tabs>
        <w:tab w:val="clear" w:leader="none" w:pos="567"/>
      </w:tabs>
      <w:spacing w:after="60" w:before="240" w:line="240" w:lineRule="auto"/>
      <w:ind/>
      <w:outlineLvl w:val="7"/>
    </w:pPr>
    <w:rPr>
      <w:i/>
      <w:sz w:val="24"/>
    </w:rPr>
  </w:style>
  <w:style w:type="paragraph" w:styleId="1074">
    <w:name w:val="Nadpis 9"/>
    <w:basedOn w:val="1065"/>
    <w:next w:val="1065"/>
    <w:link w:val="1065"/>
    <w:qFormat/>
    <w:pPr>
      <w:widowControl w:val="false"/>
      <w:numPr>
        <w:ilvl w:val="8"/>
        <w:numId w:val="1"/>
      </w:numPr>
      <w:pBdr/>
      <w:tabs>
        <w:tab w:val="clear" w:leader="none" w:pos="567"/>
      </w:tabs>
      <w:spacing w:after="60" w:before="240" w:line="240" w:lineRule="auto"/>
      <w:ind/>
      <w:outlineLvl w:val="8"/>
    </w:pPr>
    <w:rPr>
      <w:b/>
      <w:i/>
      <w:sz w:val="18"/>
    </w:rPr>
  </w:style>
  <w:style w:type="character" w:styleId="1075">
    <w:name w:val="Standardní písmo odstavce"/>
    <w:next w:val="1075"/>
    <w:link w:val="1065"/>
    <w:semiHidden/>
    <w:pPr>
      <w:pBdr/>
      <w:spacing/>
      <w:ind/>
    </w:pPr>
  </w:style>
  <w:style w:type="table" w:styleId="1076">
    <w:name w:val="Normální tabulka"/>
    <w:next w:val="1076"/>
    <w:link w:val="1065"/>
    <w:uiPriority w:val="99"/>
    <w:semiHidden/>
    <w:unhideWhenUsed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77">
    <w:name w:val="Bez seznamu"/>
    <w:next w:val="1077"/>
    <w:link w:val="1065"/>
    <w:uiPriority w:val="99"/>
    <w:semiHidden/>
    <w:unhideWhenUsed/>
    <w:pPr>
      <w:pBdr/>
      <w:spacing/>
      <w:ind/>
    </w:pPr>
  </w:style>
  <w:style w:type="paragraph" w:styleId="1078">
    <w:name w:val="Záhlaví"/>
    <w:basedOn w:val="1065"/>
    <w:next w:val="1078"/>
    <w:link w:val="1107"/>
    <w:uiPriority w:val="99"/>
    <w:pPr>
      <w:pBdr/>
      <w:tabs>
        <w:tab w:val="center" w:leader="none" w:pos="4536"/>
        <w:tab w:val="right" w:leader="none" w:pos="9072"/>
      </w:tabs>
      <w:spacing w:line="240" w:lineRule="auto"/>
      <w:ind/>
    </w:pPr>
  </w:style>
  <w:style w:type="paragraph" w:styleId="1079">
    <w:name w:val="Zápatí"/>
    <w:basedOn w:val="1065"/>
    <w:next w:val="1079"/>
    <w:link w:val="1065"/>
    <w:semiHidden/>
    <w:pPr>
      <w:pBdr/>
      <w:tabs>
        <w:tab w:val="center" w:leader="none" w:pos="4536"/>
        <w:tab w:val="right" w:leader="none" w:pos="9072"/>
      </w:tabs>
      <w:spacing/>
      <w:ind/>
    </w:pPr>
  </w:style>
  <w:style w:type="character" w:styleId="1080">
    <w:name w:val="Číslo stránky"/>
    <w:basedOn w:val="1075"/>
    <w:next w:val="1080"/>
    <w:link w:val="1065"/>
    <w:semiHidden/>
    <w:pPr>
      <w:pBdr/>
      <w:spacing/>
      <w:ind/>
    </w:pPr>
  </w:style>
  <w:style w:type="paragraph" w:styleId="1081">
    <w:name w:val="Obsah 3"/>
    <w:basedOn w:val="1065"/>
    <w:next w:val="1065"/>
    <w:link w:val="1065"/>
    <w:uiPriority w:val="39"/>
    <w:pPr>
      <w:pBdr/>
      <w:tabs>
        <w:tab w:val="right" w:leader="dot" w:pos="9356"/>
      </w:tabs>
      <w:spacing/>
      <w:ind w:left="227"/>
      <w:jc w:val="left"/>
    </w:pPr>
    <w:rPr>
      <w:caps/>
      <w:sz w:val="20"/>
    </w:rPr>
  </w:style>
  <w:style w:type="paragraph" w:styleId="1082">
    <w:name w:val="Obsah 2"/>
    <w:basedOn w:val="1065"/>
    <w:next w:val="1065"/>
    <w:link w:val="1065"/>
    <w:uiPriority w:val="39"/>
    <w:pPr>
      <w:pBdr/>
      <w:tabs>
        <w:tab w:val="right" w:leader="dot" w:pos="9355"/>
      </w:tabs>
      <w:spacing/>
      <w:ind w:left="113"/>
      <w:jc w:val="left"/>
    </w:pPr>
    <w:rPr>
      <w:caps/>
      <w:sz w:val="20"/>
    </w:rPr>
  </w:style>
  <w:style w:type="paragraph" w:styleId="1083">
    <w:name w:val="Obsah 1"/>
    <w:basedOn w:val="1065"/>
    <w:next w:val="1065"/>
    <w:link w:val="1065"/>
    <w:uiPriority w:val="39"/>
    <w:pPr>
      <w:pBdr/>
      <w:tabs>
        <w:tab w:val="right" w:leader="dot" w:pos="9355"/>
      </w:tabs>
      <w:spacing/>
      <w:ind/>
      <w:jc w:val="left"/>
    </w:pPr>
    <w:rPr>
      <w:caps/>
      <w:sz w:val="20"/>
    </w:rPr>
  </w:style>
  <w:style w:type="paragraph" w:styleId="1084">
    <w:name w:val="Obsah 4"/>
    <w:basedOn w:val="1065"/>
    <w:next w:val="1065"/>
    <w:link w:val="1065"/>
    <w:semiHidden/>
    <w:pPr>
      <w:pBdr/>
      <w:tabs>
        <w:tab w:val="right" w:leader="dot" w:pos="9356"/>
      </w:tabs>
      <w:spacing/>
      <w:ind/>
      <w:jc w:val="center"/>
    </w:pPr>
    <w:rPr>
      <w:b/>
      <w:sz w:val="28"/>
    </w:rPr>
  </w:style>
  <w:style w:type="paragraph" w:styleId="1085">
    <w:name w:val="Základní text"/>
    <w:basedOn w:val="1065"/>
    <w:next w:val="1085"/>
    <w:link w:val="1065"/>
    <w:semiHidden/>
    <w:pPr>
      <w:pBdr/>
      <w:spacing/>
      <w:ind/>
    </w:pPr>
    <w:rPr>
      <w:color w:val="ff00ff"/>
    </w:rPr>
  </w:style>
  <w:style w:type="paragraph" w:styleId="1086">
    <w:name w:val="NADPIS"/>
    <w:basedOn w:val="1065"/>
    <w:next w:val="1066"/>
    <w:link w:val="1065"/>
    <w:pPr>
      <w:pBdr/>
      <w:spacing w:after="240" w:before="120"/>
      <w:ind/>
      <w:jc w:val="center"/>
    </w:pPr>
    <w:rPr>
      <w:b/>
      <w:caps/>
      <w:sz w:val="32"/>
      <w:u w:val="single"/>
    </w:rPr>
  </w:style>
  <w:style w:type="paragraph" w:styleId="1087">
    <w:name w:val="Body Text 2"/>
    <w:basedOn w:val="1065"/>
    <w:next w:val="1087"/>
    <w:link w:val="1065"/>
    <w:pPr>
      <w:pBdr/>
      <w:spacing/>
      <w:ind w:left="284"/>
    </w:pPr>
  </w:style>
  <w:style w:type="paragraph" w:styleId="1088">
    <w:name w:val="Body Text Indent 2"/>
    <w:basedOn w:val="1065"/>
    <w:next w:val="1088"/>
    <w:link w:val="1065"/>
    <w:pPr>
      <w:pBdr/>
      <w:spacing/>
      <w:ind w:firstLine="284"/>
    </w:pPr>
  </w:style>
  <w:style w:type="paragraph" w:styleId="1089">
    <w:name w:val="Body Text Indent 3"/>
    <w:basedOn w:val="1065"/>
    <w:next w:val="1089"/>
    <w:link w:val="1065"/>
    <w:pPr>
      <w:pBdr/>
      <w:spacing/>
      <w:ind w:firstLine="284"/>
    </w:pPr>
    <w:rPr>
      <w:color w:val="ff00ff"/>
    </w:rPr>
  </w:style>
  <w:style w:type="paragraph" w:styleId="1090">
    <w:name w:val="Obsah 5"/>
    <w:basedOn w:val="1065"/>
    <w:next w:val="1065"/>
    <w:link w:val="1065"/>
    <w:semiHidden/>
    <w:pPr>
      <w:pBdr/>
      <w:spacing/>
      <w:ind w:left="960"/>
    </w:pPr>
  </w:style>
  <w:style w:type="paragraph" w:styleId="1091">
    <w:name w:val="Obsah 6"/>
    <w:basedOn w:val="1065"/>
    <w:next w:val="1065"/>
    <w:link w:val="1065"/>
    <w:semiHidden/>
    <w:pPr>
      <w:pBdr/>
      <w:spacing/>
      <w:ind w:left="1200"/>
    </w:pPr>
  </w:style>
  <w:style w:type="paragraph" w:styleId="1092">
    <w:name w:val="Obsah 7"/>
    <w:basedOn w:val="1065"/>
    <w:next w:val="1065"/>
    <w:link w:val="1065"/>
    <w:semiHidden/>
    <w:pPr>
      <w:pBdr/>
      <w:spacing/>
      <w:ind w:left="1440"/>
    </w:pPr>
  </w:style>
  <w:style w:type="paragraph" w:styleId="1093">
    <w:name w:val="Obsah 8"/>
    <w:basedOn w:val="1065"/>
    <w:next w:val="1065"/>
    <w:link w:val="1065"/>
    <w:semiHidden/>
    <w:pPr>
      <w:pBdr/>
      <w:spacing/>
      <w:ind w:left="1680"/>
    </w:pPr>
  </w:style>
  <w:style w:type="paragraph" w:styleId="1094">
    <w:name w:val="Obsah 9"/>
    <w:basedOn w:val="1065"/>
    <w:next w:val="1065"/>
    <w:link w:val="1065"/>
    <w:semiHidden/>
    <w:pPr>
      <w:pBdr/>
      <w:spacing/>
      <w:ind w:left="1920"/>
    </w:pPr>
  </w:style>
  <w:style w:type="paragraph" w:styleId="1095">
    <w:name w:val="seznam"/>
    <w:basedOn w:val="1065"/>
    <w:next w:val="1095"/>
    <w:link w:val="1065"/>
    <w:pPr>
      <w:widowControl w:val="false"/>
      <w:pBdr/>
      <w:tabs>
        <w:tab w:val="clear" w:leader="none" w:pos="567"/>
      </w:tabs>
      <w:spacing/>
      <w:ind/>
    </w:pPr>
    <w:rPr>
      <w:rFonts w:ascii="Times New Roman" w:hAnsi="Times New Roman"/>
      <w:sz w:val="24"/>
    </w:rPr>
  </w:style>
  <w:style w:type="character" w:styleId="1096">
    <w:name w:val="Hyperlink1"/>
    <w:next w:val="1096"/>
    <w:link w:val="1065"/>
    <w:pPr>
      <w:pBdr/>
      <w:spacing/>
      <w:ind/>
    </w:pPr>
    <w:rPr>
      <w:color w:val="0000ff"/>
      <w:u w:val="single"/>
    </w:rPr>
  </w:style>
  <w:style w:type="paragraph" w:styleId="1097">
    <w:name w:val="Seznam"/>
    <w:basedOn w:val="1065"/>
    <w:next w:val="1097"/>
    <w:link w:val="1065"/>
    <w:semiHidden/>
    <w:pPr>
      <w:pBdr/>
      <w:tabs>
        <w:tab w:val="clear" w:leader="none" w:pos="567"/>
      </w:tabs>
      <w:spacing w:line="240" w:lineRule="auto"/>
      <w:ind w:hanging="283" w:left="283"/>
    </w:pPr>
    <w:rPr>
      <w:sz w:val="24"/>
    </w:rPr>
  </w:style>
  <w:style w:type="paragraph" w:styleId="1098">
    <w:name w:val="Body Text 3"/>
    <w:basedOn w:val="1065"/>
    <w:next w:val="1098"/>
    <w:link w:val="1065"/>
    <w:pPr>
      <w:pBdr/>
      <w:tabs>
        <w:tab w:val="clear" w:leader="none" w:pos="567"/>
      </w:tabs>
      <w:spacing w:line="240" w:lineRule="auto"/>
      <w:ind/>
    </w:pPr>
    <w:rPr>
      <w:b/>
      <w:i/>
      <w:sz w:val="24"/>
    </w:rPr>
  </w:style>
  <w:style w:type="paragraph" w:styleId="1099">
    <w:name w:val="Text bubliny"/>
    <w:basedOn w:val="1065"/>
    <w:next w:val="1099"/>
    <w:link w:val="1065"/>
    <w:semiHidden/>
    <w:pPr>
      <w:pBdr/>
      <w:spacing/>
      <w:ind/>
    </w:pPr>
    <w:rPr>
      <w:rFonts w:ascii="Tahoma" w:hAnsi="Tahoma" w:cs="SuperFrench"/>
      <w:sz w:val="16"/>
      <w:szCs w:val="16"/>
    </w:rPr>
  </w:style>
  <w:style w:type="character" w:styleId="1100">
    <w:name w:val="Hypertextový odkaz"/>
    <w:next w:val="1100"/>
    <w:link w:val="1065"/>
    <w:uiPriority w:val="99"/>
    <w:pPr>
      <w:pBdr/>
      <w:spacing/>
      <w:ind/>
    </w:pPr>
    <w:rPr>
      <w:color w:val="0000ff"/>
      <w:u w:val="single"/>
    </w:rPr>
  </w:style>
  <w:style w:type="paragraph" w:styleId="1101">
    <w:name w:val="Rozložení dokumentu"/>
    <w:basedOn w:val="1065"/>
    <w:next w:val="1101"/>
    <w:link w:val="1065"/>
    <w:semiHidden/>
    <w:pPr>
      <w:pBdr/>
      <w:shd w:val="clear" w:color="auto" w:fill="000080"/>
      <w:spacing/>
      <w:ind/>
    </w:pPr>
    <w:rPr>
      <w:rFonts w:ascii="Tahoma" w:hAnsi="Tahoma" w:cs="SuperFrench"/>
      <w:sz w:val="20"/>
    </w:rPr>
  </w:style>
  <w:style w:type="paragraph" w:styleId="1102">
    <w:name w:val="Základní text odsazený"/>
    <w:basedOn w:val="1065"/>
    <w:next w:val="1102"/>
    <w:link w:val="1065"/>
    <w:semiHidden/>
    <w:pPr>
      <w:pBdr/>
      <w:spacing w:after="120"/>
      <w:ind w:left="283"/>
    </w:pPr>
  </w:style>
  <w:style w:type="paragraph" w:styleId="1103">
    <w:name w:val="Základní text 2"/>
    <w:basedOn w:val="1065"/>
    <w:next w:val="1103"/>
    <w:link w:val="1065"/>
    <w:semiHidden/>
    <w:pPr>
      <w:pBdr/>
      <w:spacing w:after="120" w:line="480" w:lineRule="auto"/>
      <w:ind/>
    </w:pPr>
  </w:style>
  <w:style w:type="paragraph" w:styleId="1104">
    <w:name w:val="Základní text odsazený 2"/>
    <w:basedOn w:val="1065"/>
    <w:next w:val="1104"/>
    <w:link w:val="1065"/>
    <w:semiHidden/>
    <w:pPr>
      <w:pBdr/>
      <w:spacing/>
      <w:ind w:firstLine="360"/>
    </w:pPr>
    <w:rPr>
      <w:sz w:val="24"/>
    </w:rPr>
  </w:style>
  <w:style w:type="paragraph" w:styleId="1105">
    <w:name w:val="Základní text odsazený 3"/>
    <w:basedOn w:val="1065"/>
    <w:next w:val="1105"/>
    <w:link w:val="1065"/>
    <w:semiHidden/>
    <w:pPr>
      <w:pBdr/>
      <w:spacing/>
      <w:ind w:firstLine="567"/>
    </w:pPr>
  </w:style>
  <w:style w:type="paragraph" w:styleId="1106">
    <w:name w:val="Základní text 3"/>
    <w:basedOn w:val="1065"/>
    <w:next w:val="1106"/>
    <w:link w:val="1065"/>
    <w:semiHidden/>
    <w:pPr>
      <w:pBdr/>
      <w:spacing/>
      <w:ind/>
      <w:jc w:val="left"/>
    </w:pPr>
  </w:style>
  <w:style w:type="character" w:styleId="1107">
    <w:name w:val="Záhlaví Char"/>
    <w:next w:val="1107"/>
    <w:link w:val="1078"/>
    <w:uiPriority w:val="99"/>
    <w:pPr>
      <w:pBdr/>
      <w:spacing/>
      <w:ind/>
    </w:pPr>
    <w:rPr>
      <w:rFonts w:ascii="Arial" w:hAnsi="Arial"/>
      <w:sz w:val="22"/>
    </w:rPr>
  </w:style>
  <w:style w:type="paragraph" w:styleId="1108">
    <w:name w:val="Nadpis obsahu"/>
    <w:basedOn w:val="1066"/>
    <w:next w:val="1065"/>
    <w:link w:val="1065"/>
    <w:uiPriority w:val="39"/>
    <w:unhideWhenUsed/>
    <w:qFormat/>
    <w:pPr>
      <w:keepLines w:val="true"/>
      <w:numPr>
        <w:ilvl w:val="0"/>
        <w:numId w:val="0"/>
      </w:numPr>
      <w:pBdr/>
      <w:tabs>
        <w:tab w:val="clear" w:leader="none" w:pos="567"/>
      </w:tabs>
      <w:spacing w:after="0" w:before="240" w:line="259" w:lineRule="auto"/>
      <w:ind/>
      <w:outlineLvl w:val="9"/>
    </w:pPr>
    <w:rPr>
      <w:rFonts w:ascii="Calibri Light" w:hAnsi="Calibri Light" w:eastAsia="Times New Roman" w:cs="Times New Roman"/>
      <w:b w:val="0"/>
      <w:caps w:val="0"/>
      <w:color w:val="2e74b5"/>
      <w:sz w:val="32"/>
      <w:szCs w:val="32"/>
      <w:u w:val="none"/>
    </w:rPr>
  </w:style>
  <w:style w:type="character" w:styleId="1109">
    <w:name w:val="Nadpis 4 Char"/>
    <w:next w:val="1109"/>
    <w:link w:val="1069"/>
    <w:pPr>
      <w:pBdr/>
      <w:spacing/>
      <w:ind/>
    </w:pPr>
    <w:rPr>
      <w:rFonts w:ascii="Arial" w:hAnsi="Arial"/>
      <w:b/>
      <w:i/>
      <w:sz w:val="24"/>
      <w:u w:val="single"/>
    </w:rPr>
  </w:style>
  <w:style w:type="paragraph" w:styleId="1110">
    <w:name w:val="Odstavec se seznamem"/>
    <w:basedOn w:val="1065"/>
    <w:next w:val="1110"/>
    <w:link w:val="1065"/>
    <w:uiPriority w:val="34"/>
    <w:qFormat/>
    <w:pPr>
      <w:pBdr/>
      <w:spacing/>
      <w:ind w:left="708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VIS a. s.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Jana</dc:creator>
  <cp:revision>186</cp:revision>
  <dcterms:created xsi:type="dcterms:W3CDTF">2014-05-13T07:48:00Z</dcterms:created>
  <dcterms:modified xsi:type="dcterms:W3CDTF">2025-10-05T18:15:59Z</dcterms:modified>
  <cp:version>983040</cp:version>
</cp:coreProperties>
</file>